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Record of Processing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ACME-REC-002</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Record of Processing Activities</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Internal — Restricted</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Compliance</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spacing w:after="160" w:line="276"/>
        <w:jc w:val="both"/>
      </w:pPr>
      <w:r>
        <w:rPr>
          <w:sz w:val="22"/>
          <w:szCs w:val="22"/>
        </w:rPr>
        <w:t xml:space="preserve">This Register is maintained by Rahul Mehta, Chief Compliance Officer, pursuant to the accountability obligations of Acme Digital Solutions Private Limited under the Digital Personal Data Protection Act, 2023. It shall be reviewed quarterly and updated upon any material change to processing activities.</w:t>
      </w:r>
    </w:p>
    <w:p>
      <w:pPr>
        <w:pBdr>
          <w:bottom w:val="single" w:color="2E5090" w:sz="1" w:space="4"/>
        </w:pBdr>
        <w:spacing w:after="160" w:before="320"/>
      </w:pPr>
      <w:r>
        <w:rPr>
          <w:b/>
          <w:bCs/>
          <w:color w:val="1B2A4A"/>
          <w:sz w:val="26"/>
          <w:szCs w:val="26"/>
        </w:rPr>
        <w:t xml:space="preserve">Schedule 1 — Processing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Activity</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Data categories</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Purpose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Basis</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Recipients</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Retention</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Transfer</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1</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SaaS account registration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Name, email, phone, company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Account setup</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S.6 Consent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AWS, CRM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Life + 3y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None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KYB verification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PAN, GSTIN, COI, signatory ID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Regulatory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S.7 / Legal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Karza, internal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5y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None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3</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Payment collection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Card token, UPI, billing addr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Transactions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Contract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Razorpay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8y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None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4</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Platform usage analytics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IP, device, feature usage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Product improvement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S.6 Consent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Google Analytics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13mo</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US*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5</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Marketing campaigns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Email, name, segment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Promotion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S.6 Consent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Netcore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Until withdraw+3y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None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6</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Customer support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Chat, email, call recordings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Support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S.7 Legitimate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Freshworks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24mo</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US*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7</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AI chatbot (Acme Assist)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Chat content, account meta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Tier-1 support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S.7 Legitimate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AWS Bedrock</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90d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None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8</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HR payroll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Employee PAN, salary, bank</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Employment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S.7 Legitimate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PeopleStrong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Emp+8y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None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9</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Group HR reporting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Employee headcount, cost centre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Management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S.7 Legitimate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 SG affiliate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8y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Singapore*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10</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Office CCTV</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Video footage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Security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S.7 Legitimate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Internal security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30d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None</w:t>
            </w:r>
          </w:p>
        </w:tc>
      </w:tr>
    </w:tbl>
    <w:p>
      <w:pPr>
        <w:spacing w:after="220" w:line="276"/>
        <w:jc w:val="both"/>
      </w:pPr>
      <w:r>
        <w:rPr>
          <w:sz w:val="22"/>
          <w:szCs w:val="22"/>
        </w:rPr>
        <w:t xml:space="preserve"/>
      </w:r>
    </w:p>
    <w:p>
      <w:pPr>
        <w:spacing w:after="160" w:line="276"/>
        <w:jc w:val="both"/>
      </w:pPr>
      <w:r>
        <w:rPr>
          <w:sz w:val="22"/>
          <w:szCs w:val="22"/>
        </w:rPr>
        <w:t xml:space="preserve">* Cross-border transfers protected by DPA and Section 16 compliance assessment.</w:t>
      </w:r>
    </w:p>
    <w:p>
      <w:pPr>
        <w:pBdr>
          <w:bottom w:val="single" w:color="2E5090" w:sz="1" w:space="4"/>
        </w:pBdr>
        <w:spacing w:after="160" w:before="320"/>
      </w:pPr>
      <w:r>
        <w:rPr>
          <w:b/>
          <w:bCs/>
          <w:color w:val="1B2A4A"/>
          <w:sz w:val="26"/>
          <w:szCs w:val="26"/>
        </w:rPr>
        <w:t xml:space="preserve">Schedule 2 — Data Processor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Processor</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Service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Data</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DPA date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Audit</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Amazon Web Services India Pvt. Ltd.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Cloud infrastructure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All production data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Jan 2024</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SOC 2 — Jan 2026</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Razorpay Software Pvt. Ltd.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Payments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Payment data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15 Jun 2023</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PCI DSS — Dec 2025</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Freshworks Technologies Pvt. Ltd.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Support CRM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Support tickets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Mar 2024</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SOC 2 — Nov 2025</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Google India Pvt. Ltd.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Analytics, Workspace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Usage, email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Sep 2023</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ISO 27001</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PeopleStrong HR Services Pvt. Ltd.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Payroll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Employee data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 2025</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On-site — Feb 2026</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Karza Technologies Pvt. Ltd.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KYC API</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PAN, Aadhaar hash</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10 Jul 2024</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SOC 2 — Aug 2025</w:t>
            </w:r>
          </w:p>
        </w:tc>
      </w:tr>
    </w:tbl>
    <w:p>
      <w:pPr>
        <w:spacing w:after="220" w:line="276"/>
        <w:jc w:val="both"/>
      </w:pPr>
      <w:r>
        <w:rPr>
          <w:sz w:val="22"/>
          <w:szCs w:val="22"/>
        </w:rPr>
        <w:t xml:space="preserve"/>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2026-07-05T20:39:55.135Z</dcterms:created>
  <dcterms:modified xsi:type="dcterms:W3CDTF">2026-07-05T20:39:55.135Z</dcterms:modified>
</cp:coreProperties>
</file>

<file path=docProps/custom.xml><?xml version="1.0" encoding="utf-8"?>
<Properties xmlns="http://schemas.openxmlformats.org/officeDocument/2006/custom-properties" xmlns:vt="http://schemas.openxmlformats.org/officeDocument/2006/docPropsVTypes"/>
</file>