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реализации компонентной архитектуры с механизмами включения и агрегирования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Общая постановка задачи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модифицировать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компонента Eco.Lab1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поддержки интерфейсов EcoCalculatorX и IEcoCalculatorY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использованием включения и агрегирования.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Компонент должен объединять функциональность нескольких независимых компонентов (выступать в роли фасада и агрегатора) и предоставлять единую точку доступа к операциям сортировки и арифметическим операциям.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Архитектура и реализация компонента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компонента EcoLab1 была расширена для поддержки множественных интерфейсов: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typedef struct CEcoLab1 {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…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Таблица функций интерфейса IEcoCalculatorX */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IEcoCalculatorXVTbl* m_pVTblIEcoCalculatorX;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Таблица функций интерфейса IEcoCalculatorY */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IEcoCalculatorYVTbl* m_pVTblIEcoCalculatorY;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Указатель на интерфейс IEcoCalculatorX включаемого компонента (цель делегирования) */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IEcoCalculatorX* m_pIEcoCalculatorX;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Указатель на интерфейс IEcoCalculatorY включаемого компонента (цель делегирования, если нет агрегации) */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IEcoCalculatorY* m_pIEcoCalculatorY;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 Указатель на интерфейс внутреннего агрегируемого компонента*/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IEcoUnknown* m_pInnerUnknown;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CEcoLab1, *CEcoLab1Ptr;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Реализуемые интерфейсы: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IEcoLab1 — операции Gnome сортировки (прямая реализация)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IEcoCalculatorX — операции сложения и вычитания (агрегирование + включение)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IEcoCalculatorY — операции умножения и деления (включение)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внутренние компоненты: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CID_EcoCalculatorA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CID_EcoCalculatorB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CID_EcoCalculatorC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CID_EcoCalculatorD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CID_EcoCalculatorE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Реализация механизмов</w:t>
      </w:r>
    </w:p>
    <w:p w:rsidR="00000000" w:rsidDel="00000000" w:rsidP="00000000" w:rsidRDefault="00000000" w:rsidRPr="00000000" w14:paraId="00000025">
      <w:pPr>
        <w:spacing w:after="12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3.1 Механизм включения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Механизм включения основан на прямом создании внутренних компонентов и хранении их интерфейсов. Все вызовы методов делегируются включенным объектам.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Пример 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нициализаци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включенных компонентов: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pIBus-&gt;pVTbl-&gt;QueryComponent(</w:t>
      </w:r>
    </w:p>
    <w:p w:rsidR="00000000" w:rsidDel="00000000" w:rsidP="00000000" w:rsidRDefault="00000000" w:rsidRPr="00000000" w14:paraId="00000029">
      <w:pPr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pIBus, </w:t>
      </w:r>
    </w:p>
    <w:p w:rsidR="00000000" w:rsidDel="00000000" w:rsidP="00000000" w:rsidRDefault="00000000" w:rsidRPr="00000000" w14:paraId="0000002A">
      <w:pPr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&amp;CID_EcoCalculatorA, </w:t>
      </w:r>
    </w:p>
    <w:p w:rsidR="00000000" w:rsidDel="00000000" w:rsidP="00000000" w:rsidRDefault="00000000" w:rsidRPr="00000000" w14:paraId="0000002B">
      <w:pPr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</w:t>
      </w:r>
    </w:p>
    <w:p w:rsidR="00000000" w:rsidDel="00000000" w:rsidP="00000000" w:rsidRDefault="00000000" w:rsidRPr="00000000" w14:paraId="0000002C">
      <w:pPr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&amp;IID_IEcoCalculatorX,</w:t>
      </w:r>
    </w:p>
    <w:p w:rsidR="00000000" w:rsidDel="00000000" w:rsidP="00000000" w:rsidRDefault="00000000" w:rsidRPr="00000000" w14:paraId="0000002D">
      <w:pPr>
        <w:ind w:left="3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(void**)&amp;pCMe-&gt;m_pIEcoCalculatorX</w:t>
      </w:r>
    </w:p>
    <w:p w:rsidR="00000000" w:rsidDel="00000000" w:rsidP="00000000" w:rsidRDefault="00000000" w:rsidRPr="00000000" w14:paraId="0000002E">
      <w:pPr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(result != 0 || pCMe-&gt;m_pIEcoCalculatorX == 0)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pIBus-&gt;pVTbl-&gt;QueryComponent(</w:t>
      </w:r>
    </w:p>
    <w:p w:rsidR="00000000" w:rsidDel="00000000" w:rsidP="00000000" w:rsidRDefault="00000000" w:rsidRPr="00000000" w14:paraId="00000031">
      <w:pPr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pIBus, </w:t>
      </w:r>
    </w:p>
    <w:p w:rsidR="00000000" w:rsidDel="00000000" w:rsidP="00000000" w:rsidRDefault="00000000" w:rsidRPr="00000000" w14:paraId="00000032">
      <w:pPr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&amp;CID_EcoCalculatorB, </w:t>
      </w:r>
    </w:p>
    <w:p w:rsidR="00000000" w:rsidDel="00000000" w:rsidP="00000000" w:rsidRDefault="00000000" w:rsidRPr="00000000" w14:paraId="00000033">
      <w:pPr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</w:p>
    <w:p w:rsidR="00000000" w:rsidDel="00000000" w:rsidP="00000000" w:rsidRDefault="00000000" w:rsidRPr="00000000" w14:paraId="00000034">
      <w:pPr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&amp;IID_IEcoCalculatorX, (void**)&amp;pCMe-&gt;m_pIEcoCalculatorX</w:t>
      </w:r>
    </w:p>
    <w:p w:rsidR="00000000" w:rsidDel="00000000" w:rsidP="00000000" w:rsidRDefault="00000000" w:rsidRPr="00000000" w14:paraId="00000035">
      <w:pPr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(result != 0 || pCMe-&gt;m_pIEcoCalculatorX == 0)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 = pIBus-&gt;pVTbl-&gt;QueryComponent(</w:t>
      </w:r>
    </w:p>
    <w:p w:rsidR="00000000" w:rsidDel="00000000" w:rsidP="00000000" w:rsidRDefault="00000000" w:rsidRPr="00000000" w14:paraId="00000039">
      <w:pPr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pIBus, </w:t>
      </w:r>
    </w:p>
    <w:p w:rsidR="00000000" w:rsidDel="00000000" w:rsidP="00000000" w:rsidRDefault="00000000" w:rsidRPr="00000000" w14:paraId="0000003A">
      <w:pPr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&amp;CID_EcoCalculatorC, </w:t>
      </w:r>
    </w:p>
    <w:p w:rsidR="00000000" w:rsidDel="00000000" w:rsidP="00000000" w:rsidRDefault="00000000" w:rsidRPr="00000000" w14:paraId="0000003B">
      <w:pPr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</w:p>
    <w:p w:rsidR="00000000" w:rsidDel="00000000" w:rsidP="00000000" w:rsidRDefault="00000000" w:rsidRPr="00000000" w14:paraId="0000003C">
      <w:pPr>
        <w:ind w:left="43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&amp;IID_IEcoCalculatorX, (void**)&amp;pCMe-&gt;m_pIEcoCalculatorX</w:t>
      </w:r>
    </w:p>
    <w:p w:rsidR="00000000" w:rsidDel="00000000" w:rsidP="00000000" w:rsidRDefault="00000000" w:rsidRPr="00000000" w14:paraId="0000003D">
      <w:pPr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3.2 Механизм агрегирования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Агрегирование применяется для IEcoCalculatorX, чтобы встроить внутренний компонент как часть внешнего.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Инициализация агрегированного компонента: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pIBus-&gt;pVTbl-&gt;QueryComponent(</w:t>
      </w:r>
    </w:p>
    <w:p w:rsidR="00000000" w:rsidDel="00000000" w:rsidP="00000000" w:rsidRDefault="00000000" w:rsidRPr="00000000" w14:paraId="00000045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pIBus, </w:t>
      </w:r>
    </w:p>
    <w:p w:rsidR="00000000" w:rsidDel="00000000" w:rsidP="00000000" w:rsidRDefault="00000000" w:rsidRPr="00000000" w14:paraId="00000046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&amp;CID_EcoCalculatorB, </w:t>
      </w:r>
    </w:p>
    <w:p w:rsidR="00000000" w:rsidDel="00000000" w:rsidP="00000000" w:rsidRDefault="00000000" w:rsidRPr="00000000" w14:paraId="00000047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pOuterUnknown, </w:t>
      </w:r>
    </w:p>
    <w:p w:rsidR="00000000" w:rsidDel="00000000" w:rsidP="00000000" w:rsidRDefault="00000000" w:rsidRPr="00000000" w14:paraId="00000048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&amp;IID_IEcoUnknown, </w:t>
      </w:r>
    </w:p>
    <w:p w:rsidR="00000000" w:rsidDel="00000000" w:rsidP="00000000" w:rsidRDefault="00000000" w:rsidRPr="00000000" w14:paraId="00000049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(void**)&amp;pCMe-&gt;m_pInnerUnknown</w:t>
      </w:r>
    </w:p>
    <w:p w:rsidR="00000000" w:rsidDel="00000000" w:rsidP="00000000" w:rsidRDefault="00000000" w:rsidRPr="00000000" w14:paraId="0000004A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 агрегирования заключается в том, что внутренний компонент получает указатель на </w:t>
      </w:r>
      <w:r w:rsidDel="00000000" w:rsidR="00000000" w:rsidRPr="00000000">
        <w:rPr>
          <w:rtl w:val="0"/>
        </w:rPr>
        <w:t xml:space="preserve">IEcoUnknown внешнего объекта,</w:t>
      </w:r>
      <w:r w:rsidDel="00000000" w:rsidR="00000000" w:rsidRPr="00000000">
        <w:rPr>
          <w:rtl w:val="0"/>
        </w:rPr>
        <w:t xml:space="preserve"> что обеспечивает общее управление временем жизни и единый счетчик ссылок.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Логика QueryInterface для агрегирования:</w:t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(IsEqualUGUID(riid, &amp;IID_IEcoCalculatorX))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(pCMe-&gt;m_pInnerUnknown != 0)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pCMe-&gt;m_pInnerUnknown-&gt;pVTbl-&gt;QueryInterface(</w:t>
      </w:r>
    </w:p>
    <w:p w:rsidR="00000000" w:rsidDel="00000000" w:rsidP="00000000" w:rsidRDefault="00000000" w:rsidRPr="00000000" w14:paraId="00000052">
      <w:pPr>
        <w:ind w:left="50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pCMe-&gt;m_pInnerUnknown, </w:t>
      </w:r>
    </w:p>
    <w:p w:rsidR="00000000" w:rsidDel="00000000" w:rsidP="00000000" w:rsidRDefault="00000000" w:rsidRPr="00000000" w14:paraId="00000053">
      <w:pPr>
        <w:ind w:left="50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riid, </w:t>
      </w:r>
    </w:p>
    <w:p w:rsidR="00000000" w:rsidDel="00000000" w:rsidP="00000000" w:rsidRDefault="00000000" w:rsidRPr="00000000" w14:paraId="00000054">
      <w:pPr>
        <w:ind w:left="50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ppv</w:t>
      </w:r>
    </w:p>
    <w:p w:rsidR="00000000" w:rsidDel="00000000" w:rsidP="00000000" w:rsidRDefault="00000000" w:rsidRPr="00000000" w14:paraId="00000055">
      <w:pPr>
        <w:ind w:left="50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*ppv = &amp;pCMe-&gt;m_pVTblIEcoCalculatorX;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pCMe-&gt;m_pVTblIEcoLab1-&gt;AddRef((IEcoLab1*)pCMe);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Если агрегирование не удалось, реализуется </w:t>
      </w:r>
      <w:r w:rsidDel="00000000" w:rsidR="00000000" w:rsidRPr="00000000">
        <w:rPr>
          <w:rtl w:val="0"/>
        </w:rPr>
        <w:t xml:space="preserve">резервный механизм включения,</w:t>
      </w:r>
      <w:r w:rsidDel="00000000" w:rsidR="00000000" w:rsidRPr="00000000">
        <w:rPr>
          <w:rtl w:val="0"/>
        </w:rPr>
        <w:t xml:space="preserve"> что повышает устойчивость компонента.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Тестирование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Для проверки корректности были проведены проверки 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Получение и проверка интерфейсов калькуляторов: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Запрос интерфейса IEcoCalculatorX через IEcoLab1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Запрос интерфейса IEcoCalculatorY через IEcoLab1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работоспособности арифметических функций через полученные интерфейсы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Тестирование агрегации </w:t>
      </w:r>
      <w:r w:rsidDel="00000000" w:rsidR="00000000" w:rsidRPr="00000000">
        <w:rPr>
          <w:rtl w:val="0"/>
        </w:rPr>
        <w:t xml:space="preserve">IEcoCalculatorX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Тестирование передачи интерфейсов: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Проверка получения IEcoLab1 из IEcoCalculatorX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Проверка получения IEcoLab1 из IEcoCalculatorY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Выполнение операций GnomeSort через полученные интерфейсы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0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В ходе работы был модифицирован компонент CEcoLab1, в котором реализованы механизмы включения и агрегирования. Включение обеспечило делегирование вызовов к внутренним компонентам через фасад, а агрегирование позволило объединить интерфейсы и управление временем жизни в одном объекте.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850.3937007874016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