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low expressed transcripts are filtered based on count per million (CPM) reads: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P</m:t>
          </m:r>
          <m:r>
            <m:t>M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t>×</m:t>
          </m:r>
          <m:sSup>
            <m:e>
              <m:r>
                <m:t>10</m:t>
              </m:r>
            </m:e>
            <m:sup>
              <m:r>
                <m:t>6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read count of transcript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library size of the sample.</w:t>
      </w:r>
    </w:p>
    <w:p>
      <w:pPr>
        <w:pStyle w:val="Compact"/>
        <w:numPr>
          <w:numId w:val="1001"/>
          <w:ilvl w:val="0"/>
        </w:numPr>
      </w:pPr>
      <w:r>
        <w:t xml:space="preserve">An expressed transcript must have</w:t>
      </w:r>
      <w:r>
        <w:t xml:space="preserve"> </w:t>
      </w:r>
      <m:oMath>
        <m:r>
          <m:t>≥</m:t>
        </m:r>
        <m:r>
          <m:t>n</m:t>
        </m:r>
      </m:oMath>
      <w:r>
        <w:t xml:space="preserve"> </w:t>
      </w:r>
      <w:r>
        <w:t xml:space="preserve">samples with expression</w:t>
      </w:r>
      <w:r>
        <w:t xml:space="preserve"> </w:t>
      </w:r>
      <m:oMath>
        <m:r>
          <m:t>≥</m:t>
        </m:r>
        <m:r>
          <m:t>m</m:t>
        </m:r>
      </m:oMath>
      <w:r>
        <w:t xml:space="preserve"> </w:t>
      </w:r>
      <w:r>
        <w:t xml:space="preserve">CPM.</w:t>
      </w:r>
    </w:p>
    <w:p>
      <w:pPr>
        <w:pStyle w:val="Compact"/>
        <w:numPr>
          <w:numId w:val="1001"/>
          <w:ilvl w:val="0"/>
        </w:numPr>
      </w:pPr>
      <w:r>
        <w:t xml:space="preserve">An expressed gene must have at least one expressed transcript.</w:t>
      </w:r>
    </w:p>
    <w:p>
      <w:pPr>
        <w:pStyle w:val="FirstParagraph"/>
      </w:pPr>
      <w:r>
        <w:t xml:space="preserve">The sample number cut-off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CPM cut-off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are determined by the mean-variance trend plot. Read counts are assumed to be negative binomial distributed of which the mean and variance has a relation: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</m:den>
          </m:f>
          <m:r>
            <m:t>+</m:t>
          </m:r>
          <m:r>
            <m:t>ϕ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read count,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mean and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overdispersion. The expression variance decreasing monotonically with the increasing of the mean. In real RNA-seq data, the low expressed transcripts confound with noise and the expression distribution is different to the expressed transcripts. In the mean-variance trend plot, the low expressed transcripts cause a drop trend in low expression region. Therefore, the cut-offs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 filter the low expression can be optimised until the drop trend in low expression region disappeared in the mean-variance trend plot.</w:t>
      </w:r>
    </w:p>
    <w:p>
      <w:pPr>
        <w:pStyle w:val="Figure"/>
      </w:pPr>
      <w:r>
        <w:drawing>
          <wp:inline>
            <wp:extent cx="5334000" cy="20508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ter_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Figure</w:t>
      </w:r>
      <w:r>
        <w:t xml:space="preserve">: Mean-variance trend plot before (A) and after (B) low expression filters. Each black point in the figure represents a gene/transcript. The red and yellow lines are the fitted trends of the genes/transcripts.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d47e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b73b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2019-05-14T18:13:07Z</dcterms:created>
  <dcterms:modified xsi:type="dcterms:W3CDTF">2019-05-14T18:13:07Z</dcterms:modified>
</cp:coreProperties>
</file>