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elect-factors-of-samples"/>
      <w:bookmarkEnd w:id="21"/>
      <w:r>
        <w:t xml:space="preserve">Select factors of samples</w:t>
      </w:r>
    </w:p>
    <w:p>
      <w:pPr>
        <w:pStyle w:val="FirstParagraph"/>
      </w:pPr>
      <w:r>
        <w:t xml:space="preserve">Once the csv spreadsheet of sample information is uploaded, users can select columns of factors to distinguish the categories of different samples. The columns of following information must be selected:</w:t>
      </w:r>
    </w:p>
    <w:p>
      <w:pPr>
        <w:pStyle w:val="Compact"/>
        <w:numPr>
          <w:numId w:val="1001"/>
          <w:ilvl w:val="0"/>
        </w:numPr>
      </w:pPr>
      <w:r>
        <w:t xml:space="preserve">One or more factors relevant to experimental design of expression changes (Figure A and B).</w:t>
      </w:r>
    </w:p>
    <w:p>
      <w:pPr>
        <w:pStyle w:val="Compact"/>
        <w:numPr>
          <w:numId w:val="1001"/>
          <w:ilvl w:val="0"/>
        </w:numPr>
      </w:pPr>
      <w:r>
        <w:t xml:space="preserve">Biological replicates (bio-reps).</w:t>
      </w:r>
    </w:p>
    <w:p>
      <w:pPr>
        <w:pStyle w:val="Compact"/>
        <w:numPr>
          <w:numId w:val="1001"/>
          <w:ilvl w:val="0"/>
        </w:numPr>
      </w:pPr>
      <w:r>
        <w:t xml:space="preserve">Sequencing replicates (seq-reps) if exist.</w:t>
      </w:r>
    </w:p>
    <w:p>
      <w:pPr>
        <w:pStyle w:val="Compact"/>
        <w:numPr>
          <w:numId w:val="1001"/>
          <w:ilvl w:val="0"/>
        </w:numPr>
      </w:pPr>
      <w:r>
        <w:t xml:space="preserve">Sample-based folder name of salmon/kallisto quantification (</w:t>
      </w:r>
      <w:r>
        <w:t xml:space="preserve">“</w:t>
      </w:r>
      <w:r>
        <w:t xml:space="preserve">quant_folder</w:t>
      </w:r>
      <w:r>
        <w:t xml:space="preserve">”</w:t>
      </w:r>
      <w:r>
        <w:t xml:space="preserve"> </w:t>
      </w:r>
      <w:r>
        <w:t xml:space="preserve">column in Figure A).</w:t>
      </w:r>
    </w:p>
    <w:p>
      <w:pPr>
        <w:pStyle w:val="FirstParagraph"/>
      </w:pPr>
      <w:r>
        <w:t xml:space="preserve">New columns will be created to distinguish samples:</w:t>
      </w:r>
    </w:p>
    <w:p>
      <w:pPr>
        <w:pStyle w:val="Compact"/>
        <w:numPr>
          <w:numId w:val="1002"/>
          <w:ilvl w:val="0"/>
        </w:numPr>
      </w:pPr>
      <w:r>
        <w:t xml:space="preserve">condition: condition of interest. If two or more factor columns are selected, they will be merged to one column. For example, samples were taken from wild-type (WT) and mutant (MU) groups (one column) and each group have 3 treatment A, B and C (another column). Condition of interest will be set as WT.A, WT.B, WT.C, MU.A, MU.B and MU.C (Figure B).</w:t>
      </w:r>
    </w:p>
    <w:p>
      <w:pPr>
        <w:pStyle w:val="Compact"/>
        <w:numPr>
          <w:numId w:val="1002"/>
          <w:ilvl w:val="0"/>
        </w:numPr>
      </w:pPr>
      <w:r>
        <w:t xml:space="preserve">sample.name: sample names will be set as condition.bio-reps.seq-reps (if seq-reps exist; Figure A).</w:t>
      </w:r>
    </w:p>
    <w:p>
      <w:pPr>
        <w:pStyle w:val="Heading3"/>
      </w:pPr>
      <w:bookmarkStart w:id="22" w:name="set-contrast-groups"/>
      <w:bookmarkEnd w:id="22"/>
      <w:r>
        <w:t xml:space="preserve">Set contrast groups</w:t>
      </w:r>
    </w:p>
    <w:p>
      <w:pPr>
        <w:pStyle w:val="FirstParagraph"/>
      </w:pPr>
      <w:r>
        <w:t xml:space="preserve">Based on condition of interest, any contrast group can be set to study expression changes between conditions. For example, the contrast groups in Figure B can be set as: WT.B-WT.A (WT.B vs WT.A) and MU.B-MU.A (MU.B vs MU.A). Contrast group settings of pair-wise conditions suit to most experimental design in RNA-seq studies. In addition, users can set contrast group (MU.B-MU.A)-(WT.B-WT.A), which is called as interaction term and compares how the treatments respond differently in MU and in WT group.</w:t>
      </w:r>
    </w:p>
    <w:p>
      <w:pPr>
        <w:pStyle w:val="BodyText"/>
      </w:pPr>
      <w:r>
        <w:rPr>
          <w:b/>
        </w:rPr>
        <w:t xml:space="preserve">Note</w:t>
      </w:r>
      <w:r>
        <w:t xml:space="preserve">: for time-series RNA-seq study, the time-points can be treated as different conditions to set contrast groups.</w:t>
      </w:r>
    </w:p>
    <w:p>
      <w:pPr>
        <w:pStyle w:val="Figure"/>
      </w:pPr>
      <w:r>
        <w:drawing>
          <wp:inline>
            <wp:extent cx="5334000" cy="2332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lect_fac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Figure</w:t>
      </w:r>
      <w:r>
        <w:t xml:space="preserve">: Samples and factors to distinguish sample categories. Conditions of interest are relevant to (A) one factor and (B) two or more than two factors.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55f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a49d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2019-05-01T15:40:21Z</dcterms:created>
  <dcterms:modified xsi:type="dcterms:W3CDTF">2019-05-01T15:40:21Z</dcterms:modified>
</cp:coreProperties>
</file>