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p>
    <w:p>
      <w:pPr>
        <w:pStyle w:val="11"/>
        <w:ind w:firstLine="640"/>
      </w:pPr>
      <w:r>
        <w:rPr>
          <w:rFonts w:hint="eastAsia"/>
        </w:rPr>
        <w:t>寒假</w:t>
      </w:r>
      <w:r>
        <w:t>社会实践方案</w:t>
      </w:r>
    </w:p>
    <w:p>
      <w:pPr>
        <w:pStyle w:val="3"/>
      </w:pPr>
      <w:r>
        <w:rPr>
          <w:rFonts w:ascii="仿宋_GB2312" w:hAnsi="仿宋_GB2312" w:eastAsia="仿宋_GB2312" w:cs="仿宋_GB2312"/>
          <w:sz w:val="32"/>
          <w:szCs w:val="32"/>
        </w:rPr>
        <w:t>浙江大学</w:t>
      </w:r>
      <w:r>
        <w:rPr>
          <w:rFonts w:ascii="仿宋_GB2312" w:hAnsi="仿宋_GB2312" w:eastAsia="仿宋_GB2312" w:cs="仿宋_GB2312"/>
          <w:sz w:val="32"/>
          <w:szCs w:val="32"/>
          <w:u w:val="single"/>
        </w:rPr>
        <w:t xml:space="preserve">  社会实践指导中心 </w:t>
      </w:r>
      <w:r>
        <w:rPr>
          <w:rFonts w:ascii="仿宋_GB2312" w:hAnsi="仿宋_GB2312" w:eastAsia="仿宋_GB2312" w:cs="仿宋_GB2312"/>
          <w:sz w:val="32"/>
          <w:szCs w:val="32"/>
        </w:rPr>
        <w:t xml:space="preserve"> 赴 </w:t>
      </w:r>
      <w:r>
        <w:rPr>
          <w:rFonts w:ascii="仿宋_GB2312" w:hAnsi="仿宋_GB2312" w:eastAsia="仿宋_GB2312" w:cs="仿宋_GB2312"/>
          <w:sz w:val="32"/>
          <w:szCs w:val="32"/>
          <w:u w:val="single"/>
        </w:rPr>
        <w:t xml:space="preserve"> 多省各地 </w:t>
      </w:r>
      <w:r>
        <w:rPr>
          <w:rFonts w:ascii="仿宋_GB2312" w:hAnsi="仿宋_GB2312" w:eastAsia="仿宋_GB2312" w:cs="仿宋_GB2312"/>
          <w:sz w:val="32"/>
          <w:szCs w:val="32"/>
        </w:rPr>
        <w:t>（实践地点）</w:t>
      </w:r>
      <w:r>
        <w:rPr>
          <w:rFonts w:ascii="仿宋_GB2312" w:hAnsi="仿宋_GB2312" w:eastAsia="仿宋_GB2312" w:cs="仿宋_GB2312"/>
          <w:sz w:val="32"/>
          <w:szCs w:val="32"/>
          <w:u w:val="single"/>
        </w:rPr>
        <w:t xml:space="preserve"> “</w:t>
      </w:r>
      <w:r>
        <w:rPr>
          <w:rFonts w:hint="eastAsia" w:ascii="仿宋_GB2312" w:hAnsi="仿宋_GB2312" w:eastAsia="仿宋_GB2312" w:cs="仿宋_GB2312"/>
          <w:sz w:val="32"/>
          <w:szCs w:val="32"/>
          <w:u w:val="single"/>
        </w:rPr>
        <w:t>踔厉新征程，奋进新时代</w:t>
      </w:r>
      <w:r>
        <w:rPr>
          <w:rFonts w:ascii="仿宋_GB2312" w:hAnsi="仿宋_GB2312" w:eastAsia="仿宋_GB2312" w:cs="仿宋_GB2312"/>
          <w:sz w:val="32"/>
          <w:szCs w:val="32"/>
          <w:u w:val="single"/>
        </w:rPr>
        <w:t xml:space="preserve">” </w:t>
      </w:r>
      <w:r>
        <w:rPr>
          <w:rFonts w:ascii="仿宋_GB2312" w:hAnsi="仿宋_GB2312" w:eastAsia="仿宋_GB2312" w:cs="仿宋_GB2312"/>
          <w:sz w:val="32"/>
          <w:szCs w:val="32"/>
        </w:rPr>
        <w:t>（主题）</w:t>
      </w:r>
      <w:r>
        <w:rPr>
          <w:rFonts w:hint="eastAsia" w:ascii="仿宋_GB2312" w:hAnsi="仿宋_GB2312" w:eastAsia="仿宋_GB2312" w:cs="仿宋_GB2312"/>
          <w:sz w:val="32"/>
          <w:szCs w:val="32"/>
        </w:rPr>
        <w:t>寒假</w:t>
      </w:r>
      <w:r>
        <w:rPr>
          <w:rFonts w:ascii="仿宋_GB2312" w:hAnsi="仿宋_GB2312" w:eastAsia="仿宋_GB2312" w:cs="仿宋_GB2312"/>
          <w:sz w:val="32"/>
          <w:szCs w:val="32"/>
        </w:rPr>
        <w:t>社会实践团</w:t>
      </w:r>
    </w:p>
    <w:p>
      <w:pPr>
        <w:pStyle w:val="2"/>
        <w:numPr>
          <w:ilvl w:val="0"/>
          <w:numId w:val="1"/>
        </w:numPr>
      </w:pPr>
      <w:r>
        <w:t>前言</w:t>
      </w:r>
    </w:p>
    <w:p>
      <w:pPr>
        <w:ind w:firstLine="440"/>
      </w:pPr>
      <w:r>
        <w:t>2023年</w:t>
      </w:r>
      <w:r>
        <w:rPr>
          <w:rFonts w:hint="eastAsia"/>
        </w:rPr>
        <w:t>随着国家政策放开，疫情风险将进一步扩大</w:t>
      </w:r>
      <w:r>
        <w:t>。对此，我们开展线上线下相结合的社会实践活动，在保障安全的同时积极通过实践感受党的革命精神。实践主题为红色</w:t>
      </w:r>
      <w:r>
        <w:rPr>
          <w:rFonts w:hint="eastAsia"/>
        </w:rPr>
        <w:t>走访</w:t>
      </w:r>
      <w:r>
        <w:t>。通过走访参观多省各地的红色基地、爱国教育基地，成员们重温革命历史，纪念优秀革命人士，学习红色精神，增强爱国奋斗的精神和使命感。</w:t>
      </w:r>
    </w:p>
    <w:p>
      <w:pPr>
        <w:pStyle w:val="2"/>
        <w:numPr>
          <w:ilvl w:val="0"/>
          <w:numId w:val="1"/>
        </w:numPr>
      </w:pPr>
      <w:r>
        <w:t>实践前准备工作</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0"/>
        <w:gridCol w:w="2700"/>
        <w:gridCol w:w="2715"/>
      </w:tblGrid>
      <w:tr>
        <w:tc>
          <w:tcPr>
            <w:tcW w:w="2700" w:type="dxa"/>
            <w:tcBorders>
              <w:top w:val="single" w:color="000000" w:sz="6" w:space="0"/>
              <w:left w:val="single" w:color="000000" w:sz="6" w:space="0"/>
              <w:bottom w:val="single" w:color="000000" w:sz="6" w:space="0"/>
              <w:right w:val="single" w:color="000000" w:sz="6" w:space="0"/>
            </w:tcBorders>
          </w:tcPr>
          <w:p>
            <w:pPr>
              <w:pStyle w:val="3"/>
            </w:pPr>
            <w:r>
              <w:rPr>
                <w:rFonts w:ascii="宋体" w:hAnsi="宋体" w:eastAsia="宋体" w:cs="宋体"/>
              </w:rPr>
              <w:t>组别</w:t>
            </w:r>
          </w:p>
        </w:tc>
        <w:tc>
          <w:tcPr>
            <w:tcW w:w="2700" w:type="dxa"/>
            <w:tcBorders>
              <w:top w:val="single" w:color="000000" w:sz="6" w:space="0"/>
              <w:bottom w:val="single" w:color="000000" w:sz="6" w:space="0"/>
              <w:right w:val="single" w:color="000000" w:sz="6" w:space="0"/>
            </w:tcBorders>
          </w:tcPr>
          <w:p>
            <w:pPr>
              <w:pStyle w:val="3"/>
            </w:pPr>
            <w:r>
              <w:rPr>
                <w:rFonts w:ascii="宋体" w:hAnsi="宋体" w:eastAsia="宋体" w:cs="宋体"/>
              </w:rPr>
              <w:t>人员</w:t>
            </w:r>
          </w:p>
        </w:tc>
        <w:tc>
          <w:tcPr>
            <w:tcW w:w="2715" w:type="dxa"/>
            <w:tcBorders>
              <w:top w:val="single" w:color="000000" w:sz="6" w:space="0"/>
              <w:bottom w:val="single" w:color="000000" w:sz="6" w:space="0"/>
              <w:right w:val="single" w:color="000000" w:sz="6" w:space="0"/>
            </w:tcBorders>
          </w:tcPr>
          <w:p>
            <w:pPr>
              <w:pStyle w:val="3"/>
            </w:pPr>
            <w:r>
              <w:rPr>
                <w:rFonts w:ascii="宋体" w:hAnsi="宋体" w:eastAsia="宋体" w:cs="宋体"/>
              </w:rPr>
              <w:t>主要工作</w:t>
            </w:r>
          </w:p>
        </w:tc>
      </w:tr>
      <w:tr>
        <w:tc>
          <w:tcPr>
            <w:tcW w:w="2700" w:type="dxa"/>
            <w:tcBorders>
              <w:left w:val="single" w:color="000000" w:sz="6" w:space="0"/>
              <w:bottom w:val="single" w:color="000000" w:sz="6" w:space="0"/>
              <w:right w:val="single" w:color="000000" w:sz="6" w:space="0"/>
            </w:tcBorders>
          </w:tcPr>
          <w:p>
            <w:pPr>
              <w:pStyle w:val="3"/>
            </w:pPr>
            <w:r>
              <w:rPr>
                <w:rFonts w:ascii="宋体" w:hAnsi="宋体" w:eastAsia="宋体" w:cs="宋体"/>
              </w:rPr>
              <w:t>统筹</w:t>
            </w:r>
          </w:p>
        </w:tc>
        <w:tc>
          <w:tcPr>
            <w:tcW w:w="2700" w:type="dxa"/>
            <w:tcBorders>
              <w:bottom w:val="single" w:color="000000" w:sz="6" w:space="0"/>
              <w:right w:val="single" w:color="000000" w:sz="6" w:space="0"/>
            </w:tcBorders>
          </w:tcPr>
          <w:p>
            <w:pPr>
              <w:pStyle w:val="3"/>
            </w:pPr>
            <w:r>
              <w:t xml:space="preserve"> </w:t>
            </w:r>
            <w:r>
              <w:rPr>
                <w:rFonts w:hint="eastAsia"/>
              </w:rPr>
              <w:t>向檬</w:t>
            </w:r>
          </w:p>
        </w:tc>
        <w:tc>
          <w:tcPr>
            <w:tcW w:w="2715" w:type="dxa"/>
            <w:tcBorders>
              <w:bottom w:val="single" w:color="000000" w:sz="6" w:space="0"/>
              <w:right w:val="single" w:color="000000" w:sz="6" w:space="0"/>
            </w:tcBorders>
          </w:tcPr>
          <w:p>
            <w:pPr>
              <w:pStyle w:val="3"/>
            </w:pPr>
            <w:r>
              <w:t>1</w:t>
            </w:r>
            <w:r>
              <w:rPr>
                <w:rFonts w:ascii="宋体" w:hAnsi="宋体" w:eastAsia="宋体" w:cs="宋体"/>
              </w:rPr>
              <w:t>、社会实践团队内部的任务统筹布置。</w:t>
            </w:r>
          </w:p>
          <w:p>
            <w:pPr>
              <w:pStyle w:val="3"/>
            </w:pPr>
            <w:r>
              <w:t>2</w:t>
            </w:r>
            <w:r>
              <w:rPr>
                <w:rFonts w:ascii="宋体" w:hAnsi="宋体" w:eastAsia="宋体" w:cs="宋体"/>
              </w:rPr>
              <w:t>、社会实践团队与浙大团委之间的协调交流。</w:t>
            </w:r>
          </w:p>
        </w:tc>
      </w:tr>
      <w:tr>
        <w:tc>
          <w:tcPr>
            <w:tcW w:w="2700" w:type="dxa"/>
            <w:tcBorders>
              <w:left w:val="single" w:color="000000" w:sz="6" w:space="0"/>
              <w:bottom w:val="single" w:color="000000" w:sz="6" w:space="0"/>
              <w:right w:val="single" w:color="000000" w:sz="6" w:space="0"/>
            </w:tcBorders>
          </w:tcPr>
          <w:p>
            <w:pPr>
              <w:pStyle w:val="3"/>
            </w:pPr>
            <w:r>
              <w:rPr>
                <w:rFonts w:ascii="宋体" w:hAnsi="宋体" w:eastAsia="宋体" w:cs="宋体"/>
              </w:rPr>
              <w:t>防疫组</w:t>
            </w:r>
          </w:p>
        </w:tc>
        <w:tc>
          <w:tcPr>
            <w:tcW w:w="2700" w:type="dxa"/>
            <w:tcBorders>
              <w:bottom w:val="single" w:color="000000" w:sz="6" w:space="0"/>
              <w:right w:val="single" w:color="000000" w:sz="6" w:space="0"/>
            </w:tcBorders>
          </w:tcPr>
          <w:p>
            <w:pPr>
              <w:widowControl/>
              <w:ind w:firstLine="0" w:firstLineChars="0"/>
              <w:rPr>
                <w:rFonts w:hint="eastAsia"/>
                <w:color w:val="000000"/>
              </w:rPr>
            </w:pPr>
            <w:r>
              <w:rPr>
                <w:rFonts w:hint="eastAsia"/>
                <w:color w:val="000000"/>
              </w:rPr>
              <w:t>陈奕萱</w:t>
            </w:r>
            <w:r>
              <w:rPr>
                <w:color w:val="000000"/>
              </w:rPr>
              <w:t xml:space="preserve"> </w:t>
            </w:r>
            <w:r>
              <w:rPr>
                <w:rFonts w:hint="eastAsia"/>
                <w:color w:val="000000"/>
              </w:rPr>
              <w:t>刘馨仪</w:t>
            </w:r>
          </w:p>
        </w:tc>
        <w:tc>
          <w:tcPr>
            <w:tcW w:w="2715" w:type="dxa"/>
            <w:tcBorders>
              <w:bottom w:val="single" w:color="000000" w:sz="6" w:space="0"/>
              <w:right w:val="single" w:color="000000" w:sz="6" w:space="0"/>
            </w:tcBorders>
          </w:tcPr>
          <w:p>
            <w:pPr>
              <w:pStyle w:val="3"/>
            </w:pPr>
            <w:r>
              <w:rPr>
                <w:rFonts w:ascii="宋体" w:hAnsi="宋体" w:eastAsia="宋体" w:cs="宋体"/>
              </w:rPr>
              <w:t>负责实践团人员假期间的防疫工作</w:t>
            </w:r>
          </w:p>
        </w:tc>
      </w:tr>
      <w:tr>
        <w:tc>
          <w:tcPr>
            <w:tcW w:w="2700" w:type="dxa"/>
            <w:tcBorders>
              <w:left w:val="single" w:color="000000" w:sz="6" w:space="0"/>
              <w:bottom w:val="single" w:color="000000" w:sz="6" w:space="0"/>
              <w:right w:val="single" w:color="000000" w:sz="6" w:space="0"/>
            </w:tcBorders>
          </w:tcPr>
          <w:p>
            <w:pPr>
              <w:pStyle w:val="3"/>
            </w:pPr>
            <w:r>
              <w:rPr>
                <w:rFonts w:ascii="宋体" w:hAnsi="宋体" w:eastAsia="宋体" w:cs="宋体"/>
              </w:rPr>
              <w:t>宣传组</w:t>
            </w:r>
          </w:p>
        </w:tc>
        <w:tc>
          <w:tcPr>
            <w:tcW w:w="2700" w:type="dxa"/>
            <w:tcBorders>
              <w:bottom w:val="single" w:color="000000" w:sz="6" w:space="0"/>
              <w:right w:val="single" w:color="000000" w:sz="6" w:space="0"/>
            </w:tcBorders>
          </w:tcPr>
          <w:p>
            <w:pPr>
              <w:pStyle w:val="3"/>
            </w:pPr>
            <w:r>
              <w:rPr>
                <w:rFonts w:hint="eastAsia"/>
              </w:rPr>
              <w:t xml:space="preserve"> 张立言 张祺 高梓赫 </w:t>
            </w:r>
          </w:p>
          <w:p>
            <w:pPr>
              <w:widowControl/>
              <w:tabs>
                <w:tab w:val="center" w:pos="1242"/>
                <w:tab w:val="left" w:pos="1644"/>
              </w:tabs>
              <w:ind w:firstLine="0" w:firstLineChars="0"/>
              <w:rPr>
                <w:color w:val="000000"/>
              </w:rPr>
            </w:pPr>
            <w:r>
              <w:rPr>
                <w:rFonts w:hint="eastAsia"/>
                <w:color w:val="000000"/>
              </w:rPr>
              <w:t>王若 阮虹宁</w:t>
            </w:r>
            <w:r>
              <w:rPr>
                <w:color w:val="000000"/>
              </w:rPr>
              <w:tab/>
            </w:r>
            <w:r>
              <w:rPr>
                <w:color w:val="000000"/>
              </w:rPr>
              <w:t xml:space="preserve"> </w:t>
            </w:r>
            <w:r>
              <w:rPr>
                <w:rFonts w:hint="eastAsia"/>
                <w:color w:val="000000"/>
              </w:rPr>
              <w:t>马依含</w:t>
            </w:r>
          </w:p>
          <w:p>
            <w:pPr>
              <w:widowControl/>
              <w:ind w:firstLine="0" w:firstLineChars="0"/>
              <w:rPr>
                <w:rFonts w:hint="eastAsia"/>
                <w:color w:val="000000"/>
              </w:rPr>
            </w:pPr>
            <w:r>
              <w:rPr>
                <w:rFonts w:hint="eastAsia"/>
                <w:color w:val="000000"/>
              </w:rPr>
              <w:t>李强 孙雨萌 李思雨</w:t>
            </w:r>
          </w:p>
        </w:tc>
        <w:tc>
          <w:tcPr>
            <w:tcW w:w="2715" w:type="dxa"/>
            <w:tcBorders>
              <w:bottom w:val="single" w:color="000000" w:sz="6" w:space="0"/>
              <w:right w:val="single" w:color="000000" w:sz="6" w:space="0"/>
            </w:tcBorders>
          </w:tcPr>
          <w:p>
            <w:pPr>
              <w:pStyle w:val="3"/>
            </w:pPr>
            <w:r>
              <w:t>1</w:t>
            </w:r>
            <w:r>
              <w:rPr>
                <w:rFonts w:ascii="宋体" w:hAnsi="宋体" w:eastAsia="宋体" w:cs="宋体"/>
              </w:rPr>
              <w:t>、公众号推文的设计与制作。</w:t>
            </w:r>
          </w:p>
          <w:p>
            <w:pPr>
              <w:pStyle w:val="3"/>
            </w:pPr>
            <w:r>
              <w:t>2</w:t>
            </w:r>
            <w:r>
              <w:rPr>
                <w:rFonts w:ascii="宋体" w:hAnsi="宋体" w:eastAsia="宋体" w:cs="宋体"/>
              </w:rPr>
              <w:t>、制作实践期间与总结时的视频或其他形式媒体。</w:t>
            </w:r>
          </w:p>
          <w:p>
            <w:pPr>
              <w:pStyle w:val="3"/>
            </w:pPr>
            <w:r>
              <w:t>3</w:t>
            </w:r>
            <w:r>
              <w:rPr>
                <w:rFonts w:ascii="宋体" w:hAnsi="宋体" w:eastAsia="宋体" w:cs="宋体"/>
              </w:rPr>
              <w:t>、宣传发布平台的账号运营与管理</w:t>
            </w:r>
          </w:p>
        </w:tc>
      </w:tr>
      <w:tr>
        <w:tc>
          <w:tcPr>
            <w:tcW w:w="2700" w:type="dxa"/>
            <w:tcBorders>
              <w:left w:val="single" w:color="000000" w:sz="6" w:space="0"/>
              <w:bottom w:val="single" w:color="000000" w:sz="6" w:space="0"/>
              <w:right w:val="single" w:color="000000" w:sz="6" w:space="0"/>
            </w:tcBorders>
          </w:tcPr>
          <w:p>
            <w:pPr>
              <w:pStyle w:val="3"/>
            </w:pPr>
            <w:r>
              <w:rPr>
                <w:rFonts w:ascii="宋体" w:hAnsi="宋体" w:eastAsia="宋体" w:cs="宋体"/>
              </w:rPr>
              <w:t>后勤组</w:t>
            </w:r>
          </w:p>
        </w:tc>
        <w:tc>
          <w:tcPr>
            <w:tcW w:w="2700" w:type="dxa"/>
            <w:tcBorders>
              <w:bottom w:val="single" w:color="000000" w:sz="6" w:space="0"/>
              <w:right w:val="single" w:color="000000" w:sz="6" w:space="0"/>
            </w:tcBorders>
          </w:tcPr>
          <w:p>
            <w:pPr>
              <w:widowControl/>
              <w:ind w:firstLine="0" w:firstLineChars="0"/>
              <w:rPr>
                <w:rFonts w:hint="eastAsia"/>
                <w:color w:val="000000"/>
              </w:rPr>
            </w:pPr>
            <w:bookmarkStart w:id="0" w:name="_GoBack"/>
            <w:bookmarkEnd w:id="0"/>
          </w:p>
        </w:tc>
        <w:tc>
          <w:tcPr>
            <w:tcW w:w="2715" w:type="dxa"/>
            <w:tcBorders>
              <w:bottom w:val="single" w:color="000000" w:sz="6" w:space="0"/>
              <w:right w:val="single" w:color="000000" w:sz="6" w:space="0"/>
            </w:tcBorders>
          </w:tcPr>
          <w:p>
            <w:pPr>
              <w:pStyle w:val="3"/>
            </w:pPr>
          </w:p>
        </w:tc>
      </w:tr>
      <w:tr>
        <w:tc>
          <w:tcPr>
            <w:tcW w:w="2700" w:type="dxa"/>
            <w:tcBorders>
              <w:left w:val="single" w:color="000000" w:sz="6" w:space="0"/>
              <w:bottom w:val="single" w:color="000000" w:sz="6" w:space="0"/>
              <w:right w:val="single" w:color="000000" w:sz="6" w:space="0"/>
            </w:tcBorders>
          </w:tcPr>
          <w:p>
            <w:pPr>
              <w:pStyle w:val="3"/>
            </w:pPr>
            <w:r>
              <w:rPr>
                <w:rFonts w:ascii="宋体" w:hAnsi="宋体" w:eastAsia="宋体" w:cs="宋体"/>
              </w:rPr>
              <w:t>联络组</w:t>
            </w:r>
          </w:p>
        </w:tc>
        <w:tc>
          <w:tcPr>
            <w:tcW w:w="2700" w:type="dxa"/>
            <w:tcBorders>
              <w:bottom w:val="single" w:color="000000" w:sz="6" w:space="0"/>
              <w:right w:val="single" w:color="000000" w:sz="6" w:space="0"/>
            </w:tcBorders>
          </w:tcPr>
          <w:p>
            <w:pPr>
              <w:widowControl/>
              <w:ind w:firstLine="0" w:firstLineChars="0"/>
              <w:rPr>
                <w:rFonts w:hint="eastAsia"/>
                <w:color w:val="000000"/>
              </w:rPr>
            </w:pPr>
          </w:p>
        </w:tc>
        <w:tc>
          <w:tcPr>
            <w:tcW w:w="2715" w:type="dxa"/>
            <w:tcBorders>
              <w:bottom w:val="single" w:color="000000" w:sz="6" w:space="0"/>
              <w:right w:val="single" w:color="000000" w:sz="6" w:space="0"/>
            </w:tcBorders>
          </w:tcPr>
          <w:p>
            <w:pPr>
              <w:pStyle w:val="3"/>
            </w:pPr>
          </w:p>
        </w:tc>
      </w:tr>
    </w:tbl>
    <w:p>
      <w:pPr>
        <w:pStyle w:val="3"/>
      </w:pPr>
    </w:p>
    <w:p>
      <w:pPr>
        <w:pStyle w:val="2"/>
        <w:numPr>
          <w:ilvl w:val="0"/>
          <w:numId w:val="1"/>
        </w:numPr>
      </w:pPr>
      <w:r>
        <w:t>实践内容</w:t>
      </w:r>
    </w:p>
    <w:p>
      <w:pPr>
        <w:pStyle w:val="5"/>
        <w:numPr>
          <w:ilvl w:val="2"/>
          <w:numId w:val="1"/>
        </w:numPr>
        <w:rPr>
          <w:sz w:val="36"/>
          <w:szCs w:val="36"/>
        </w:rPr>
      </w:pPr>
      <w:r>
        <w:rPr>
          <w:sz w:val="36"/>
          <w:szCs w:val="36"/>
        </w:rPr>
        <w:t>详细计划</w:t>
      </w:r>
    </w:p>
    <w:p>
      <w:pPr>
        <w:pStyle w:val="5"/>
        <w:numPr>
          <w:ilvl w:val="2"/>
          <w:numId w:val="1"/>
        </w:numPr>
      </w:pPr>
      <w:r>
        <w:t>线上红色寻访</w:t>
      </w:r>
    </w:p>
    <w:p>
      <w:pPr>
        <w:ind w:firstLine="440"/>
      </w:pPr>
      <w:r>
        <w:rPr>
          <w:rFonts w:ascii="宋体" w:hAnsi="宋体" w:eastAsia="宋体" w:cs="宋体"/>
        </w:rPr>
        <w:t>地点：线上（链接：</w:t>
      </w:r>
      <w:r>
        <w:fldChar w:fldCharType="begin"/>
      </w:r>
      <w:r>
        <w:instrText xml:space="preserve"> HYPERLINK "http://www.chnmuseum.cn/portals/0/web/zt/fuxing/intro.html" </w:instrText>
      </w:r>
      <w:r>
        <w:fldChar w:fldCharType="separate"/>
      </w:r>
      <w:r>
        <w:rPr>
          <w:rStyle w:val="16"/>
        </w:rPr>
        <w:t>http://www.chnmuseum.cn/portals/0/web/zt/fuxing/intro.html</w:t>
      </w:r>
      <w:r>
        <w:rPr>
          <w:rStyle w:val="16"/>
        </w:rPr>
        <w:fldChar w:fldCharType="end"/>
      </w:r>
      <w:r>
        <w:t>）</w:t>
      </w:r>
    </w:p>
    <w:p>
      <w:pPr>
        <w:ind w:firstLine="440"/>
      </w:pPr>
      <w:r>
        <w:rPr>
          <w:rFonts w:ascii="宋体" w:hAnsi="宋体" w:eastAsia="宋体" w:cs="宋体"/>
        </w:rPr>
        <w:t>活动内容：</w:t>
      </w:r>
    </w:p>
    <w:p>
      <w:pPr>
        <w:ind w:firstLine="440"/>
      </w:pPr>
      <w:r>
        <w:rPr>
          <w:rFonts w:ascii="宋体" w:hAnsi="宋体" w:eastAsia="宋体" w:cs="宋体"/>
        </w:rPr>
        <w:t>①背景介绍</w:t>
      </w:r>
    </w:p>
    <w:p>
      <w:pPr>
        <w:ind w:left="420" w:firstLine="19" w:firstLineChars="9"/>
      </w:pPr>
      <w:r>
        <w:rPr>
          <w:rFonts w:ascii="宋体" w:hAnsi="宋体" w:eastAsia="宋体" w:cs="宋体"/>
        </w:rPr>
        <w:t>中国国家博物馆</w:t>
      </w:r>
      <w:r>
        <w:rPr>
          <w:rFonts w:hint="eastAsia" w:ascii="宋体" w:hAnsi="宋体" w:eastAsia="宋体" w:cs="宋体"/>
        </w:rPr>
        <w:t>的</w:t>
      </w:r>
      <w:r>
        <w:rPr>
          <w:rFonts w:ascii="宋体" w:hAnsi="宋体" w:eastAsia="宋体" w:cs="宋体"/>
        </w:rPr>
        <w:t>“古代中国”“复兴之路”和“复兴之路新时代部分”，是弘扬中华优秀传统文化、革命文化、社会主义先进文化的重要阵地。</w:t>
      </w:r>
    </w:p>
    <w:p>
      <w:pPr>
        <w:ind w:firstLine="440"/>
      </w:pPr>
      <w:r>
        <w:rPr>
          <w:rFonts w:ascii="宋体" w:hAnsi="宋体" w:eastAsia="宋体" w:cs="宋体"/>
        </w:rPr>
        <w:t>②参观安排</w:t>
      </w:r>
    </w:p>
    <w:p>
      <w:pPr>
        <w:ind w:left="420" w:firstLine="19" w:firstLineChars="9"/>
      </w:pPr>
      <w:r>
        <w:rPr>
          <w:rFonts w:hint="eastAsia" w:ascii="宋体" w:hAnsi="宋体" w:eastAsia="宋体" w:cs="宋体"/>
        </w:rPr>
        <w:t>团队将</w:t>
      </w:r>
      <w:r>
        <w:rPr>
          <w:rFonts w:ascii="宋体" w:hAnsi="宋体" w:eastAsia="宋体" w:cs="宋体"/>
        </w:rPr>
        <w:t>访问中国国家博物馆官网，重点了解《复兴之路》主题展览</w:t>
      </w:r>
      <w:r>
        <w:rPr>
          <w:rFonts w:hint="eastAsia" w:ascii="宋体" w:hAnsi="宋体" w:eastAsia="宋体" w:cs="宋体"/>
        </w:rPr>
        <w:t>并</w:t>
      </w:r>
      <w:r>
        <w:rPr>
          <w:rFonts w:ascii="宋体" w:hAnsi="宋体" w:eastAsia="宋体" w:cs="宋体"/>
        </w:rPr>
        <w:t>撰写感想，反思总结。</w:t>
      </w:r>
    </w:p>
    <w:p>
      <w:pPr>
        <w:pStyle w:val="5"/>
        <w:numPr>
          <w:ilvl w:val="2"/>
          <w:numId w:val="1"/>
        </w:numPr>
      </w:pPr>
      <w:r>
        <w:t>线下红色记忆追寻</w:t>
      </w:r>
    </w:p>
    <w:p>
      <w:pPr>
        <w:pStyle w:val="6"/>
        <w:numPr>
          <w:ilvl w:val="3"/>
          <w:numId w:val="1"/>
        </w:numPr>
      </w:pPr>
      <w:r>
        <w:t>杭州红色路线</w:t>
      </w:r>
    </w:p>
    <w:p>
      <w:pPr>
        <w:ind w:firstLine="440"/>
      </w:pPr>
      <w:r>
        <w:t>1、受降纪念馆</w:t>
      </w:r>
    </w:p>
    <w:p>
      <w:pPr>
        <w:ind w:left="420" w:firstLine="0" w:firstLineChars="0"/>
      </w:pPr>
      <w:r>
        <w:rPr>
          <w:color w:val="333333"/>
          <w:sz w:val="21"/>
          <w:szCs w:val="21"/>
        </w:rPr>
        <w:t>1945年8月15日，日本帝国主义战败宣布无条件投降。同年9月4日，中方受降代表在这里接受了日方代表投降。</w:t>
      </w:r>
    </w:p>
    <w:p>
      <w:pPr>
        <w:ind w:firstLine="440"/>
      </w:pPr>
      <w:r>
        <w:t>2、千人坑遗址</w:t>
      </w:r>
    </w:p>
    <w:p>
      <w:pPr>
        <w:ind w:left="420" w:firstLine="19" w:firstLineChars="9"/>
      </w:pPr>
      <w:r>
        <w:rPr>
          <w:rFonts w:hint="eastAsia"/>
        </w:rPr>
        <w:t>千人坑遗址位于距</w:t>
      </w:r>
      <w:r>
        <w:rPr>
          <w:rFonts w:hint="eastAsia"/>
          <w:color w:val="404040"/>
        </w:rPr>
        <w:t>侵浙日军投降仪式旧址</w:t>
      </w:r>
      <w:r>
        <w:rPr>
          <w:rFonts w:hint="eastAsia"/>
        </w:rPr>
        <w:t>东南</w:t>
      </w:r>
      <w:r>
        <w:rPr>
          <w:rFonts w:ascii="Arial" w:hAnsi="Arial" w:eastAsia="Arial" w:cs="Arial"/>
        </w:rPr>
        <w:t>500</w:t>
      </w:r>
      <w:r>
        <w:rPr>
          <w:rFonts w:hint="eastAsia"/>
        </w:rPr>
        <w:t>米的山坳里，是当年日寇杀害我同胞兄弟的刑场和抛尸地点。</w:t>
      </w:r>
    </w:p>
    <w:p>
      <w:pPr>
        <w:ind w:firstLine="440"/>
      </w:pPr>
      <w:r>
        <w:rPr>
          <w:rFonts w:ascii="Arial" w:hAnsi="Arial" w:eastAsia="Arial" w:cs="Arial"/>
        </w:rPr>
        <w:t>3</w:t>
      </w:r>
      <w:r>
        <w:rPr>
          <w:rFonts w:hint="eastAsia"/>
        </w:rPr>
        <w:t>、余杭南湖公园</w:t>
      </w:r>
    </w:p>
    <w:p>
      <w:pPr>
        <w:ind w:firstLine="440"/>
      </w:pPr>
      <w:r>
        <w:t>这里的烈士纪念碑，是我们不忘历史、砥砺前行的证明。</w:t>
      </w:r>
    </w:p>
    <w:p>
      <w:pPr>
        <w:pStyle w:val="6"/>
        <w:numPr>
          <w:ilvl w:val="3"/>
          <w:numId w:val="1"/>
        </w:numPr>
      </w:pPr>
      <w:r>
        <w:t>家乡红色基地</w:t>
      </w:r>
    </w:p>
    <w:p>
      <w:pPr>
        <w:ind w:left="420" w:firstLine="19" w:firstLineChars="9"/>
      </w:pPr>
      <w:r>
        <w:t>1、团队成员各自返回家乡，选择一两个家乡的红色景点，并通过网络浏览官网、访问论坛、实地到访（如果可能）等方式对其进行深入的了解</w:t>
      </w:r>
      <w:r>
        <w:rPr>
          <w:rFonts w:hint="eastAsia"/>
        </w:rPr>
        <w:t>。</w:t>
      </w:r>
    </w:p>
    <w:p>
      <w:pPr>
        <w:ind w:firstLine="440"/>
      </w:pPr>
      <w:r>
        <w:t>2、团队成员梳理出各个红色地点的历史关联，进一步了解我国近代的革命之路。</w:t>
      </w:r>
    </w:p>
    <w:p>
      <w:pPr>
        <w:pStyle w:val="5"/>
        <w:numPr>
          <w:ilvl w:val="2"/>
          <w:numId w:val="1"/>
        </w:numPr>
      </w:pPr>
      <w:r>
        <w:t>媒体宣传工作</w:t>
      </w:r>
    </w:p>
    <w:p>
      <w:pPr>
        <w:ind w:firstLine="440"/>
      </w:pPr>
      <w:r>
        <w:t>1、当地媒体：联系抖音、微信公众号、纸媒等当地媒体，宣传实践成果。</w:t>
      </w:r>
    </w:p>
    <w:p>
      <w:pPr>
        <w:ind w:left="420" w:firstLine="19" w:firstLineChars="9"/>
      </w:pPr>
      <w:r>
        <w:t>2、微信公众号：充分利用浙江大学社会实践公众号等相关微信公众号发布活动总结推文。</w:t>
      </w:r>
    </w:p>
    <w:p>
      <w:pPr>
        <w:ind w:firstLine="440"/>
      </w:pPr>
      <w:r>
        <w:t>3、抖音/B站：制作短视频，发布于团队抖音或B站账号。</w:t>
      </w:r>
    </w:p>
    <w:p>
      <w:pPr>
        <w:ind w:firstLine="440"/>
      </w:pPr>
      <w:r>
        <w:t>4、微博：充分利用浙江大学等微博平台发布新闻稿。</w:t>
      </w:r>
    </w:p>
    <w:p>
      <w:pPr>
        <w:pStyle w:val="3"/>
      </w:pPr>
      <w:r>
        <w:t> </w:t>
      </w:r>
    </w:p>
    <w:p>
      <w:pPr>
        <w:pStyle w:val="5"/>
        <w:numPr>
          <w:ilvl w:val="2"/>
          <w:numId w:val="1"/>
        </w:numPr>
      </w:pPr>
      <w:r>
        <w:t>日程安排</w:t>
      </w:r>
    </w:p>
    <w:p>
      <w:pPr>
        <w:ind w:firstLine="440"/>
      </w:pPr>
      <w:r>
        <w:t>1月17-19日：线上参观、分享、当地采访革命先辈等</w:t>
      </w:r>
    </w:p>
    <w:p>
      <w:pPr>
        <w:ind w:firstLine="440"/>
      </w:pPr>
      <w:r>
        <w:t>1月20日：出发前准备</w:t>
      </w:r>
    </w:p>
    <w:p>
      <w:pPr>
        <w:ind w:left="420" w:firstLine="19" w:firstLineChars="9"/>
      </w:pPr>
      <w:r>
        <w:t>1月21日：杭州老余杭南湖公园 1月23日: 千人坑遗址——受降纪念馆——富阳龙门古镇</w:t>
      </w:r>
    </w:p>
    <w:p>
      <w:pPr>
        <w:ind w:firstLine="440"/>
      </w:pPr>
      <w:r>
        <w:t xml:space="preserve">1月24、25日: 调研、总结实践活动 </w:t>
      </w:r>
    </w:p>
    <w:p>
      <w:pPr>
        <w:pStyle w:val="2"/>
        <w:numPr>
          <w:ilvl w:val="0"/>
          <w:numId w:val="1"/>
        </w:numPr>
      </w:pPr>
      <w:r>
        <w:t>预期成果形式</w:t>
      </w:r>
    </w:p>
    <w:p>
      <w:pPr>
        <w:pStyle w:val="5"/>
        <w:numPr>
          <w:ilvl w:val="2"/>
          <w:numId w:val="1"/>
        </w:numPr>
      </w:pPr>
      <w:r>
        <w:t>实践经验总结册</w:t>
      </w:r>
    </w:p>
    <w:p>
      <w:pPr>
        <w:ind w:firstLine="440"/>
      </w:pPr>
      <w:r>
        <w:t>实践总结册中包括整个活动过程文字与图片记录，具体可分为以下几个部分：</w:t>
      </w:r>
    </w:p>
    <w:p>
      <w:pPr>
        <w:ind w:firstLine="440"/>
      </w:pPr>
      <w:r>
        <w:t>1、立项、构思到选择参观地点、设计参观路线等前期准备工作；</w:t>
      </w:r>
    </w:p>
    <w:p>
      <w:pPr>
        <w:ind w:firstLine="440"/>
      </w:pPr>
      <w:r>
        <w:t>2、团队成员的任务分配，完成情况的详细记录以及实践日记；</w:t>
      </w:r>
    </w:p>
    <w:p>
      <w:pPr>
        <w:ind w:firstLine="440"/>
      </w:pPr>
      <w:r>
        <w:t>3、以文字与照片结合的形式进行实践过程记录；</w:t>
      </w:r>
    </w:p>
    <w:p>
      <w:pPr>
        <w:ind w:left="420" w:firstLine="19" w:firstLineChars="9"/>
      </w:pPr>
      <w:r>
        <w:t>4、实践过后每位成员对于实践活动的心得体会，总结实践活动带给自己的思考、感悟；</w:t>
      </w:r>
    </w:p>
    <w:p>
      <w:pPr>
        <w:ind w:firstLine="440"/>
      </w:pPr>
      <w:r>
        <w:t>5、总结整个实践过程，指出优点与不足之处，争取在下次实践中加以改进。</w:t>
      </w:r>
    </w:p>
    <w:p>
      <w:pPr>
        <w:pStyle w:val="5"/>
        <w:numPr>
          <w:ilvl w:val="2"/>
          <w:numId w:val="1"/>
        </w:numPr>
      </w:pPr>
      <w:r>
        <w:t>宣传品</w:t>
      </w:r>
    </w:p>
    <w:p>
      <w:pPr>
        <w:ind w:left="420" w:firstLine="19" w:firstLineChars="9"/>
      </w:pPr>
      <w:r>
        <w:t>1、总结视频：收集实践期间各种形式的记录（包括但不限于活动视频，新闻稿，照片），剪辑视频用作展示短片，照片统一收集挑选制作成相册。</w:t>
      </w:r>
    </w:p>
    <w:p>
      <w:pPr>
        <w:ind w:firstLine="440"/>
      </w:pPr>
      <w:r>
        <w:t>2、新闻稿；及时撰写新闻稿，投稿至有较高影响力的平台。</w:t>
      </w:r>
    </w:p>
    <w:p>
      <w:pPr>
        <w:pStyle w:val="2"/>
        <w:numPr>
          <w:ilvl w:val="0"/>
          <w:numId w:val="1"/>
        </w:numPr>
      </w:pPr>
      <w:r>
        <w:t>团队安全应急预案</w:t>
      </w:r>
    </w:p>
    <w:p>
      <w:pPr>
        <w:pStyle w:val="5"/>
        <w:numPr>
          <w:ilvl w:val="2"/>
          <w:numId w:val="1"/>
        </w:numPr>
      </w:pPr>
      <w:r>
        <w:t>预防措施</w:t>
      </w:r>
    </w:p>
    <w:p>
      <w:pPr>
        <w:ind w:firstLine="440"/>
      </w:pPr>
      <w:r>
        <w:t>1、活动前，要对学生进行劳动安全和劳动纪律教育，避免发生安全事故。</w:t>
      </w:r>
    </w:p>
    <w:p>
      <w:pPr>
        <w:ind w:left="420" w:firstLine="19" w:firstLineChars="9"/>
      </w:pPr>
      <w:r>
        <w:t>2、组织社会实践活动，应当与学生家长或者监护人做好沟通，明确活动内容、时间、地点等相关信息。</w:t>
      </w:r>
    </w:p>
    <w:p>
      <w:pPr>
        <w:ind w:firstLine="440"/>
      </w:pPr>
      <w:r>
        <w:t>3、出发时的上车前后、活动过程中上车落座后、活动结束上车和到达下车地点后，都必须清点学生人数，保证准确无误。</w:t>
      </w:r>
    </w:p>
    <w:p>
      <w:pPr>
        <w:pStyle w:val="4"/>
        <w:numPr>
          <w:ilvl w:val="1"/>
          <w:numId w:val="1"/>
        </w:numPr>
        <w:rPr>
          <w:rFonts w:asciiTheme="minorHAnsi" w:hAnsiTheme="minorHAnsi" w:eastAsiaTheme="minorEastAsia" w:cstheme="minorBidi"/>
        </w:rPr>
      </w:pPr>
      <w:r>
        <w:rPr>
          <w:rFonts w:asciiTheme="minorHAnsi" w:hAnsiTheme="minorHAnsi" w:eastAsiaTheme="minorEastAsia" w:cstheme="minorBidi"/>
        </w:rPr>
        <w:t>现场处置及救援措施</w:t>
      </w:r>
    </w:p>
    <w:p>
      <w:pPr>
        <w:ind w:firstLine="440"/>
      </w:pPr>
      <w:r>
        <w:t>1、带队组长应立即检查学生的受伤程度，情况严重的立即拨打120并向120详细说明学生的、情况和学生的位置。</w:t>
      </w:r>
    </w:p>
    <w:p>
      <w:pPr>
        <w:ind w:firstLine="440"/>
      </w:pPr>
      <w:r>
        <w:t>2、带队组长应立即组织、实施力所能及和切实有效的抢救措施。</w:t>
      </w:r>
    </w:p>
    <w:p>
      <w:pPr>
        <w:ind w:firstLine="440"/>
      </w:pPr>
      <w:r>
        <w:t>3、及时通知家长，并告之学生的情况、已采取的措施和现送往的医院。</w:t>
      </w:r>
    </w:p>
    <w:p>
      <w:pPr>
        <w:pStyle w:val="4"/>
        <w:numPr>
          <w:ilvl w:val="1"/>
          <w:numId w:val="1"/>
        </w:numPr>
      </w:pPr>
      <w:r>
        <w:rPr>
          <w:rFonts w:asciiTheme="minorHAnsi" w:hAnsiTheme="minorHAnsi" w:eastAsiaTheme="minorEastAsia" w:cstheme="minorBidi"/>
        </w:rPr>
        <w:t>事故报告及现场保护</w:t>
      </w:r>
    </w:p>
    <w:p>
      <w:pPr>
        <w:ind w:firstLine="440"/>
      </w:pPr>
      <w:r>
        <w:t>1、采用逐级汇报制度，社会实践活动带队的学校领导应在第一时间向学校易发安全事故应急领导小组汇报，并随时与上级保持密切联系。</w:t>
      </w:r>
    </w:p>
    <w:p>
      <w:pPr>
        <w:ind w:firstLine="440"/>
      </w:pPr>
      <w:r>
        <w:t>2、严格执行学校重大事件报告程序。对于各类突发事件，应迅速判断事件性质。根据性质，及时向县教育局汇报。在得到指示和未得到指示前，对事故可能影响善后处理的现场、证件证物等要进行保护。</w:t>
      </w:r>
    </w:p>
    <w:p>
      <w:pPr>
        <w:pStyle w:val="4"/>
        <w:numPr>
          <w:ilvl w:val="1"/>
          <w:numId w:val="1"/>
        </w:numPr>
        <w:rPr>
          <w:rFonts w:asciiTheme="minorHAnsi" w:hAnsiTheme="minorHAnsi" w:eastAsiaTheme="minorEastAsia" w:cstheme="minorBidi"/>
        </w:rPr>
      </w:pPr>
      <w:r>
        <w:rPr>
          <w:rFonts w:asciiTheme="minorHAnsi" w:hAnsiTheme="minorHAnsi" w:eastAsiaTheme="minorEastAsia" w:cstheme="minorBidi"/>
        </w:rPr>
        <w:t>事故调查及处理</w:t>
      </w:r>
    </w:p>
    <w:p>
      <w:pPr>
        <w:ind w:firstLine="440"/>
      </w:pPr>
      <w:r>
        <w:t>1、突发事件发生后，突发事件应急处理领导小组应组织人员立即保护现场、采取疏散、隔离等措施，加强学生管理，并做好学生思想政治工作，确保学生心态和情绪稳定。</w:t>
      </w:r>
    </w:p>
    <w:p>
      <w:pPr>
        <w:ind w:firstLine="440"/>
      </w:pPr>
      <w:r>
        <w:t>2、突发事件发生后，根据事件性质，应及时与涉及事件的学生家长或家属联系，在适当条件下，告知事件原因和处理结果。</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40"/>
      </w:pPr>
      <w:r>
        <w:separator/>
      </w:r>
    </w:p>
  </w:endnote>
  <w:endnote w:type="continuationSeparator" w:id="1">
    <w:p>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仿宋_GB2312">
    <w:altName w:val="方正仿宋_GBK"/>
    <w:panose1 w:val="02010609030101010101"/>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汉仪书宋二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40"/>
      </w:pPr>
      <w:r>
        <w:separator/>
      </w:r>
    </w:p>
  </w:footnote>
  <w:footnote w:type="continuationSeparator" w:id="1">
    <w:p>
      <w:pPr>
        <w:ind w:firstLine="4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8568C"/>
    <w:multiLevelType w:val="multilevel"/>
    <w:tmpl w:val="0408568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D0"/>
    <w:rsid w:val="00093A39"/>
    <w:rsid w:val="00223517"/>
    <w:rsid w:val="002B0F12"/>
    <w:rsid w:val="004B58AE"/>
    <w:rsid w:val="00556605"/>
    <w:rsid w:val="005E160B"/>
    <w:rsid w:val="00663A8E"/>
    <w:rsid w:val="00710DB9"/>
    <w:rsid w:val="008F6582"/>
    <w:rsid w:val="00913721"/>
    <w:rsid w:val="00981C37"/>
    <w:rsid w:val="009E777A"/>
    <w:rsid w:val="00A738EE"/>
    <w:rsid w:val="00B967D0"/>
    <w:rsid w:val="00C43ED3"/>
    <w:rsid w:val="00C7377A"/>
    <w:rsid w:val="00D21761"/>
    <w:rsid w:val="00DF59E9"/>
    <w:rsid w:val="00E459C3"/>
    <w:rsid w:val="00E47D15"/>
    <w:rsid w:val="00F20CF7"/>
    <w:rsid w:val="EFF9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2"/>
      <w:szCs w:val="22"/>
      <w:lang w:val="en-US" w:eastAsia="zh-CN" w:bidi="ar-SA"/>
    </w:rPr>
  </w:style>
  <w:style w:type="paragraph" w:styleId="2">
    <w:name w:val="heading 1"/>
    <w:basedOn w:val="3"/>
    <w:next w:val="3"/>
    <w:link w:val="19"/>
    <w:qFormat/>
    <w:uiPriority w:val="9"/>
    <w:pPr>
      <w:keepNext/>
      <w:keepLines/>
      <w:spacing w:before="340" w:after="330" w:line="578" w:lineRule="auto"/>
      <w:outlineLvl w:val="0"/>
    </w:pPr>
    <w:rPr>
      <w:b/>
      <w:bCs/>
      <w:kern w:val="44"/>
      <w:sz w:val="44"/>
      <w:szCs w:val="44"/>
    </w:rPr>
  </w:style>
  <w:style w:type="paragraph" w:styleId="4">
    <w:name w:val="heading 2"/>
    <w:basedOn w:val="3"/>
    <w:next w:val="3"/>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5">
    <w:name w:val="heading 3"/>
    <w:basedOn w:val="3"/>
    <w:next w:val="3"/>
    <w:link w:val="21"/>
    <w:unhideWhenUsed/>
    <w:qFormat/>
    <w:uiPriority w:val="9"/>
    <w:pPr>
      <w:keepNext/>
      <w:keepLines/>
      <w:spacing w:before="260" w:after="260" w:line="416" w:lineRule="auto"/>
      <w:outlineLvl w:val="2"/>
    </w:pPr>
    <w:rPr>
      <w:b/>
      <w:bCs/>
      <w:sz w:val="32"/>
      <w:szCs w:val="32"/>
    </w:rPr>
  </w:style>
  <w:style w:type="paragraph" w:styleId="6">
    <w:name w:val="heading 4"/>
    <w:basedOn w:val="3"/>
    <w:next w:val="3"/>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3"/>
    <w:next w:val="3"/>
    <w:link w:val="23"/>
    <w:unhideWhenUsed/>
    <w:qFormat/>
    <w:uiPriority w:val="9"/>
    <w:pPr>
      <w:keepNext/>
      <w:keepLines/>
      <w:spacing w:before="280" w:after="290" w:line="376" w:lineRule="auto"/>
      <w:outlineLvl w:val="4"/>
    </w:pPr>
    <w:rPr>
      <w:b/>
      <w:bCs/>
      <w:sz w:val="28"/>
      <w:szCs w:val="28"/>
    </w:rPr>
  </w:style>
  <w:style w:type="paragraph" w:styleId="8">
    <w:name w:val="heading 6"/>
    <w:basedOn w:val="3"/>
    <w:next w:val="3"/>
    <w:link w:val="24"/>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customStyle="1" w:styleId="3">
    <w:name w:val="Normal Paragraph"/>
    <w:qFormat/>
    <w:uiPriority w:val="0"/>
    <w:pPr>
      <w:widowControl w:val="0"/>
      <w:jc w:val="both"/>
    </w:pPr>
    <w:rPr>
      <w:rFonts w:asciiTheme="minorHAnsi" w:hAnsiTheme="minorHAnsi" w:eastAsiaTheme="minorEastAsia" w:cstheme="minorBidi"/>
      <w:kern w:val="2"/>
      <w:sz w:val="22"/>
      <w:szCs w:val="22"/>
      <w:lang w:val="en-US" w:eastAsia="zh-CN" w:bidi="ar-SA"/>
    </w:rPr>
  </w:style>
  <w:style w:type="paragraph" w:styleId="9">
    <w:name w:val="footer"/>
    <w:basedOn w:val="1"/>
    <w:link w:val="28"/>
    <w:unhideWhenUsed/>
    <w:uiPriority w:val="99"/>
    <w:pPr>
      <w:tabs>
        <w:tab w:val="center" w:pos="4153"/>
        <w:tab w:val="right" w:pos="8306"/>
      </w:tabs>
      <w:snapToGrid w:val="0"/>
      <w:jc w:val="left"/>
    </w:pPr>
    <w:rPr>
      <w:sz w:val="18"/>
      <w:szCs w:val="18"/>
    </w:rPr>
  </w:style>
  <w:style w:type="paragraph" w:styleId="10">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itle"/>
    <w:basedOn w:val="1"/>
    <w:next w:val="1"/>
    <w:link w:val="26"/>
    <w:qFormat/>
    <w:uiPriority w:val="1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uiPriority w:val="99"/>
    <w:rPr>
      <w:color w:val="954F72" w:themeColor="followedHyperlink"/>
      <w:u w:val="single"/>
      <w14:textFill>
        <w14:solidFill>
          <w14:schemeClr w14:val="folHlink"/>
        </w14:solidFill>
      </w14:textFill>
    </w:rPr>
  </w:style>
  <w:style w:type="character" w:styleId="16">
    <w:name w:val="Hyperlink"/>
    <w:basedOn w:val="17"/>
    <w:unhideWhenUsed/>
    <w:uiPriority w:val="99"/>
    <w:rPr>
      <w:color w:val="0563C1" w:themeColor="hyperlink"/>
      <w:u w:val="single"/>
      <w14:textFill>
        <w14:solidFill>
          <w14:schemeClr w14:val="hlink"/>
        </w14:solidFill>
      </w14:textFill>
    </w:rPr>
  </w:style>
  <w:style w:type="character" w:customStyle="1" w:styleId="17">
    <w:name w:val="Normal Character"/>
    <w:semiHidden/>
    <w:unhideWhenUsed/>
    <w:uiPriority w:val="1"/>
  </w:style>
  <w:style w:type="paragraph" w:styleId="18">
    <w:name w:val="List Paragraph"/>
    <w:basedOn w:val="3"/>
    <w:qFormat/>
    <w:uiPriority w:val="34"/>
    <w:pPr>
      <w:ind w:firstLine="420" w:firstLineChars="200"/>
    </w:pPr>
  </w:style>
  <w:style w:type="character" w:customStyle="1" w:styleId="19">
    <w:name w:val="标题 1 字符"/>
    <w:basedOn w:val="17"/>
    <w:link w:val="2"/>
    <w:qFormat/>
    <w:uiPriority w:val="9"/>
    <w:rPr>
      <w:b/>
      <w:bCs/>
      <w:kern w:val="40"/>
      <w:sz w:val="40"/>
      <w:szCs w:val="40"/>
    </w:rPr>
  </w:style>
  <w:style w:type="character" w:customStyle="1" w:styleId="20">
    <w:name w:val="标题 2 字符"/>
    <w:basedOn w:val="17"/>
    <w:link w:val="4"/>
    <w:qFormat/>
    <w:uiPriority w:val="9"/>
    <w:rPr>
      <w:rFonts w:asciiTheme="majorHAnsi" w:hAnsiTheme="majorHAnsi" w:eastAsiaTheme="majorEastAsia" w:cstheme="majorBidi"/>
      <w:b/>
      <w:bCs/>
      <w:sz w:val="32"/>
      <w:szCs w:val="32"/>
    </w:rPr>
  </w:style>
  <w:style w:type="character" w:customStyle="1" w:styleId="21">
    <w:name w:val="标题 3 字符"/>
    <w:basedOn w:val="17"/>
    <w:link w:val="5"/>
    <w:uiPriority w:val="9"/>
    <w:rPr>
      <w:b/>
      <w:bCs/>
      <w:sz w:val="32"/>
      <w:szCs w:val="32"/>
    </w:rPr>
  </w:style>
  <w:style w:type="character" w:customStyle="1" w:styleId="22">
    <w:name w:val="标题 4 字符"/>
    <w:basedOn w:val="17"/>
    <w:link w:val="6"/>
    <w:uiPriority w:val="9"/>
    <w:rPr>
      <w:rFonts w:asciiTheme="majorHAnsi" w:hAnsiTheme="majorHAnsi" w:eastAsiaTheme="majorEastAsia" w:cstheme="majorBidi"/>
      <w:b/>
      <w:bCs/>
      <w:sz w:val="28"/>
      <w:szCs w:val="28"/>
    </w:rPr>
  </w:style>
  <w:style w:type="character" w:customStyle="1" w:styleId="23">
    <w:name w:val="标题 5 字符"/>
    <w:basedOn w:val="17"/>
    <w:link w:val="7"/>
    <w:uiPriority w:val="9"/>
    <w:rPr>
      <w:b/>
      <w:bCs/>
      <w:sz w:val="28"/>
      <w:szCs w:val="28"/>
    </w:rPr>
  </w:style>
  <w:style w:type="character" w:customStyle="1" w:styleId="24">
    <w:name w:val="标题 6 字符"/>
    <w:basedOn w:val="17"/>
    <w:link w:val="8"/>
    <w:uiPriority w:val="9"/>
    <w:rPr>
      <w:rFonts w:asciiTheme="majorHAnsi" w:hAnsiTheme="majorHAnsi" w:eastAsiaTheme="majorEastAsia" w:cstheme="majorBidi"/>
      <w:b/>
      <w:bCs/>
      <w:sz w:val="24"/>
    </w:rPr>
  </w:style>
  <w:style w:type="paragraph" w:customStyle="1" w:styleId="25">
    <w:name w:val="钉钉文档引用"/>
    <w:qFormat/>
    <w:uiPriority w:val="0"/>
    <w:pPr>
      <w:pBdr>
        <w:left w:val="single" w:color="F0F0F0" w:sz="30" w:space="10"/>
      </w:pBdr>
    </w:pPr>
    <w:rPr>
      <w:rFonts w:ascii="微软雅黑" w:hAnsi="微软雅黑" w:eastAsia="微软雅黑" w:cs="微软雅黑"/>
      <w:color w:val="ADADAD"/>
      <w:kern w:val="0"/>
      <w:sz w:val="22"/>
      <w:szCs w:val="20"/>
      <w:lang w:val="en-US" w:eastAsia="zh-CN" w:bidi="ar-SA"/>
    </w:rPr>
  </w:style>
  <w:style w:type="character" w:customStyle="1" w:styleId="26">
    <w:name w:val="标题 字符"/>
    <w:basedOn w:val="14"/>
    <w:link w:val="11"/>
    <w:uiPriority w:val="10"/>
    <w:rPr>
      <w:rFonts w:asciiTheme="majorHAnsi" w:hAnsiTheme="majorHAnsi" w:eastAsiaTheme="majorEastAsia" w:cstheme="majorBidi"/>
      <w:b/>
      <w:bCs/>
      <w:sz w:val="32"/>
      <w:szCs w:val="32"/>
    </w:rPr>
  </w:style>
  <w:style w:type="character" w:customStyle="1" w:styleId="27">
    <w:name w:val="页眉 字符"/>
    <w:basedOn w:val="14"/>
    <w:link w:val="10"/>
    <w:uiPriority w:val="99"/>
    <w:rPr>
      <w:sz w:val="18"/>
      <w:szCs w:val="18"/>
    </w:rPr>
  </w:style>
  <w:style w:type="character" w:customStyle="1" w:styleId="28">
    <w:name w:val="页脚 字符"/>
    <w:basedOn w:val="14"/>
    <w:link w:val="9"/>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336</Words>
  <Characters>1918</Characters>
  <Lines>15</Lines>
  <Paragraphs>4</Paragraphs>
  <TotalTime>47</TotalTime>
  <ScaleCrop>false</ScaleCrop>
  <LinksUpToDate>false</LinksUpToDate>
  <CharactersWithSpaces>2250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2021-01-13T04:02:00Z</dcterms:created>
  <dc:creator>DingTalk</dc:creator>
  <dc:description>钉钉文档</dc:description>
  <cp:lastModifiedBy>WPS_1659366006</cp:lastModifiedBy>
  <dcterms:modified xsi:type="dcterms:W3CDTF">2023-12-31T19:33:36Z</dcterms:modified>
  <dc:title>DingTalk Document</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91A39CE4CE46474AA2BB8E71A9EFA823_13</vt:lpwstr>
  </property>
</Properties>
</file>