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480" w:after="0"/>
        <w:jc w:val="center"/>
        <w:rPr/>
      </w:pPr>
      <w:r>
        <w:rPr/>
        <w:t>Project Design Phase</w:t>
      </w:r>
    </w:p>
    <w:p>
      <w:pPr>
        <w:pStyle w:val="Heading2"/>
        <w:jc w:val="center"/>
        <w:rPr/>
      </w:pPr>
      <w:r>
        <w:rPr/>
        <w:t>Proposed Solution</w:t>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lineRule="auto" w:line="240" w:before="0" w:after="0"/>
              <w:rPr/>
            </w:pPr>
            <w:r>
              <w:rPr/>
              <w:t>Date</w:t>
            </w:r>
          </w:p>
        </w:tc>
        <w:tc>
          <w:tcPr>
            <w:tcW w:w="4319" w:type="dxa"/>
            <w:tcBorders/>
          </w:tcPr>
          <w:p>
            <w:pPr>
              <w:pStyle w:val="Normal"/>
              <w:spacing w:lineRule="auto" w:line="240" w:before="0" w:after="0"/>
              <w:rPr/>
            </w:pPr>
            <w:r>
              <w:rPr/>
              <w:t>09 July 2026</w:t>
            </w:r>
          </w:p>
          <w:p>
            <w:pPr>
              <w:pStyle w:val="Normal"/>
              <w:spacing w:lineRule="auto" w:line="240" w:before="0" w:after="0"/>
              <w:rPr/>
            </w:pPr>
            <w:r>
              <w:rPr/>
            </w:r>
          </w:p>
        </w:tc>
      </w:tr>
      <w:tr>
        <w:trPr/>
        <w:tc>
          <w:tcPr>
            <w:tcW w:w="4320" w:type="dxa"/>
            <w:tcBorders/>
          </w:tcPr>
          <w:p>
            <w:pPr>
              <w:pStyle w:val="Normal"/>
              <w:spacing w:lineRule="auto" w:line="240" w:before="0" w:after="0"/>
              <w:rPr/>
            </w:pPr>
            <w:r>
              <w:rPr/>
              <w:t>Team ID</w:t>
            </w:r>
          </w:p>
        </w:tc>
        <w:tc>
          <w:tcPr>
            <w:tcW w:w="4319" w:type="dxa"/>
            <w:tcBorders/>
          </w:tcPr>
          <w:p>
            <w:pPr>
              <w:pStyle w:val="Normal"/>
              <w:spacing w:lineRule="auto" w:line="240" w:before="0" w:after="0"/>
              <w:rPr/>
            </w:pPr>
            <w:r>
              <w:rPr/>
              <w:t>-------------</w:t>
            </w:r>
          </w:p>
          <w:p>
            <w:pPr>
              <w:pStyle w:val="Normal"/>
              <w:spacing w:lineRule="auto" w:line="240" w:before="0" w:after="0"/>
              <w:rPr/>
            </w:pPr>
            <w:r>
              <w:rPr/>
            </w:r>
          </w:p>
        </w:tc>
      </w:tr>
      <w:tr>
        <w:trPr/>
        <w:tc>
          <w:tcPr>
            <w:tcW w:w="4320" w:type="dxa"/>
            <w:tcBorders/>
          </w:tcPr>
          <w:p>
            <w:pPr>
              <w:pStyle w:val="Normal"/>
              <w:spacing w:lineRule="auto" w:line="240" w:before="0" w:after="0"/>
              <w:rPr/>
            </w:pPr>
            <w:r>
              <w:rPr/>
              <w:t>Project Name</w:t>
            </w:r>
          </w:p>
        </w:tc>
        <w:tc>
          <w:tcPr>
            <w:tcW w:w="4319" w:type="dxa"/>
            <w:tcBorders/>
          </w:tcPr>
          <w:p>
            <w:pPr>
              <w:pStyle w:val="Normal"/>
              <w:spacing w:lineRule="auto" w:line="240" w:before="0" w:after="0"/>
              <w:rPr/>
            </w:pPr>
            <w:r>
              <w:rPr/>
              <w:t>Shopezz – MERN E-Commerce Platform</w:t>
            </w:r>
          </w:p>
          <w:p>
            <w:pPr>
              <w:pStyle w:val="Normal"/>
              <w:spacing w:lineRule="auto" w:line="240" w:before="0" w:after="0"/>
              <w:rPr/>
            </w:pPr>
            <w:r>
              <w:rPr/>
            </w:r>
          </w:p>
        </w:tc>
      </w:tr>
      <w:tr>
        <w:trPr/>
        <w:tc>
          <w:tcPr>
            <w:tcW w:w="4320" w:type="dxa"/>
            <w:tcBorders/>
          </w:tcPr>
          <w:p>
            <w:pPr>
              <w:pStyle w:val="Normal"/>
              <w:spacing w:lineRule="auto" w:line="240" w:before="0" w:after="0"/>
              <w:rPr/>
            </w:pPr>
            <w:r>
              <w:rPr/>
              <w:t>Maximum Marks</w:t>
            </w:r>
          </w:p>
        </w:tc>
        <w:tc>
          <w:tcPr>
            <w:tcW w:w="4319" w:type="dxa"/>
            <w:tcBorders/>
          </w:tcPr>
          <w:p>
            <w:pPr>
              <w:pStyle w:val="Normal"/>
              <w:spacing w:lineRule="auto" w:line="240" w:before="0" w:after="0"/>
              <w:rPr/>
            </w:pPr>
            <w:r>
              <w:rPr/>
              <w:t>2 Marks</w:t>
            </w:r>
          </w:p>
          <w:p>
            <w:pPr>
              <w:pStyle w:val="Normal"/>
              <w:spacing w:lineRule="auto" w:line="240" w:before="0" w:after="0"/>
              <w:rPr/>
            </w:pPr>
            <w:r>
              <w:rPr/>
            </w:r>
          </w:p>
        </w:tc>
      </w:tr>
    </w:tbl>
    <w:p>
      <w:pPr>
        <w:pStyle w:val="Normal"/>
        <w:rPr/>
      </w:pPr>
      <w:r>
        <w:rPr/>
      </w:r>
    </w:p>
    <w:p>
      <w:pPr>
        <w:pStyle w:val="Heading2"/>
        <w:rPr/>
      </w:pPr>
      <w:r>
        <w:rPr/>
        <w:t>Proposed Solution Template</w:t>
      </w:r>
    </w:p>
    <w:tbl>
      <w:tblPr>
        <w:tblStyle w:val="TableGrid"/>
        <w:tblW w:w="8640" w:type="dxa"/>
        <w:jc w:val="left"/>
        <w:tblInd w:w="0" w:type="dxa"/>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lineRule="auto" w:line="240" w:before="0" w:after="0"/>
              <w:rPr/>
            </w:pPr>
            <w:r>
              <w:rPr/>
              <w:t>S.No</w:t>
            </w:r>
          </w:p>
          <w:p>
            <w:pPr>
              <w:pStyle w:val="Normal"/>
              <w:spacing w:lineRule="auto" w:line="240" w:before="0" w:after="0"/>
              <w:rPr/>
            </w:pPr>
            <w:r>
              <w:rPr/>
            </w:r>
          </w:p>
        </w:tc>
        <w:tc>
          <w:tcPr>
            <w:tcW w:w="2880" w:type="dxa"/>
            <w:tcBorders/>
          </w:tcPr>
          <w:p>
            <w:pPr>
              <w:pStyle w:val="Normal"/>
              <w:spacing w:lineRule="auto" w:line="240" w:before="0" w:after="0"/>
              <w:rPr/>
            </w:pPr>
            <w:r>
              <w:rPr/>
              <w:t>Parameter</w:t>
            </w:r>
          </w:p>
        </w:tc>
        <w:tc>
          <w:tcPr>
            <w:tcW w:w="2880" w:type="dxa"/>
            <w:tcBorders/>
          </w:tcPr>
          <w:p>
            <w:pPr>
              <w:pStyle w:val="Normal"/>
              <w:spacing w:lineRule="auto" w:line="240" w:before="0" w:after="0"/>
              <w:rPr/>
            </w:pPr>
            <w:r>
              <w:rPr/>
              <w:t>Description</w:t>
            </w:r>
          </w:p>
        </w:tc>
      </w:tr>
      <w:tr>
        <w:trPr/>
        <w:tc>
          <w:tcPr>
            <w:tcW w:w="2880" w:type="dxa"/>
            <w:tcBorders/>
          </w:tcPr>
          <w:p>
            <w:pPr>
              <w:pStyle w:val="Normal"/>
              <w:spacing w:lineRule="auto" w:line="240" w:before="0" w:after="0"/>
              <w:rPr/>
            </w:pPr>
            <w:r>
              <w:rPr/>
              <w:t>1</w:t>
            </w:r>
          </w:p>
        </w:tc>
        <w:tc>
          <w:tcPr>
            <w:tcW w:w="2880" w:type="dxa"/>
            <w:tcBorders/>
          </w:tcPr>
          <w:p>
            <w:pPr>
              <w:pStyle w:val="Normal"/>
              <w:spacing w:lineRule="auto" w:line="240" w:before="0" w:after="0"/>
              <w:rPr/>
            </w:pPr>
            <w:r>
              <w:rPr/>
              <w:t>Problem Statement</w:t>
            </w:r>
          </w:p>
        </w:tc>
        <w:tc>
          <w:tcPr>
            <w:tcW w:w="2880" w:type="dxa"/>
            <w:tcBorders/>
          </w:tcPr>
          <w:p>
            <w:pPr>
              <w:pStyle w:val="Normal"/>
              <w:spacing w:lineRule="auto" w:line="240" w:before="0" w:after="0"/>
              <w:rPr/>
            </w:pPr>
            <w:r>
              <w:rPr/>
              <w:t>Customers often face difficulties such as fake products, poor website navigation, insecure payment methods, delayed deliveries, and lack of an integrated platform that provides a seamless online shopping experience.</w:t>
            </w:r>
          </w:p>
        </w:tc>
      </w:tr>
      <w:tr>
        <w:trPr/>
        <w:tc>
          <w:tcPr>
            <w:tcW w:w="2880" w:type="dxa"/>
            <w:tcBorders/>
          </w:tcPr>
          <w:p>
            <w:pPr>
              <w:pStyle w:val="Normal"/>
              <w:spacing w:lineRule="auto" w:line="240" w:before="0" w:after="0"/>
              <w:rPr/>
            </w:pPr>
            <w:r>
              <w:rPr/>
              <w:t>2</w:t>
            </w:r>
          </w:p>
        </w:tc>
        <w:tc>
          <w:tcPr>
            <w:tcW w:w="2880" w:type="dxa"/>
            <w:tcBorders/>
          </w:tcPr>
          <w:p>
            <w:pPr>
              <w:pStyle w:val="Normal"/>
              <w:spacing w:lineRule="auto" w:line="240" w:before="0" w:after="0"/>
              <w:rPr/>
            </w:pPr>
            <w:r>
              <w:rPr/>
              <w:t>Idea / Solution Description</w:t>
            </w:r>
          </w:p>
        </w:tc>
        <w:tc>
          <w:tcPr>
            <w:tcW w:w="2880" w:type="dxa"/>
            <w:tcBorders/>
          </w:tcPr>
          <w:p>
            <w:pPr>
              <w:pStyle w:val="Normal"/>
              <w:spacing w:lineRule="auto" w:line="240" w:before="0" w:after="0"/>
              <w:rPr/>
            </w:pPr>
            <w:r>
              <w:rPr/>
              <w:t>Shopezz is a MERN Stack based e-commerce web application developed using React.js, Node.js, Express.js, and MongoDB. The platform enables users to register securely, browse products by category, search and filter items, manage wishlists and shopping carts, place online orders, and track deliveries. An Admin Dashboard allows efficient management of products, categories, users, inventory, and orders.</w:t>
            </w:r>
          </w:p>
        </w:tc>
      </w:tr>
      <w:tr>
        <w:trPr/>
        <w:tc>
          <w:tcPr>
            <w:tcW w:w="2880" w:type="dxa"/>
            <w:tcBorders/>
          </w:tcPr>
          <w:p>
            <w:pPr>
              <w:pStyle w:val="Normal"/>
              <w:spacing w:lineRule="auto" w:line="240" w:before="0" w:after="0"/>
              <w:rPr/>
            </w:pPr>
            <w:r>
              <w:rPr/>
              <w:t>3</w:t>
            </w:r>
          </w:p>
        </w:tc>
        <w:tc>
          <w:tcPr>
            <w:tcW w:w="2880" w:type="dxa"/>
            <w:tcBorders/>
          </w:tcPr>
          <w:p>
            <w:pPr>
              <w:pStyle w:val="Normal"/>
              <w:spacing w:lineRule="auto" w:line="240" w:before="0" w:after="0"/>
              <w:rPr/>
            </w:pPr>
            <w:r>
              <w:rPr/>
              <w:t>Novelty / Uniqueness</w:t>
            </w:r>
          </w:p>
        </w:tc>
        <w:tc>
          <w:tcPr>
            <w:tcW w:w="2880" w:type="dxa"/>
            <w:tcBorders/>
          </w:tcPr>
          <w:p>
            <w:pPr>
              <w:pStyle w:val="Normal"/>
              <w:spacing w:lineRule="auto" w:line="240" w:before="0" w:after="0"/>
              <w:rPr/>
            </w:pPr>
            <w:r>
              <w:rPr/>
              <w:t>Unlike a basic shopping website, Shopezz combines responsive UI, JWT-based authentication, role-based admin access, product filtering, wishlist, order tracking, and scalable cloud database architecture. The modular MERN architecture allows future integration of AI-based recommendations, chat support, and multiple payment gateways.</w:t>
            </w:r>
          </w:p>
        </w:tc>
      </w:tr>
      <w:tr>
        <w:trPr/>
        <w:tc>
          <w:tcPr>
            <w:tcW w:w="2880" w:type="dxa"/>
            <w:tcBorders/>
          </w:tcPr>
          <w:p>
            <w:pPr>
              <w:pStyle w:val="Normal"/>
              <w:spacing w:lineRule="auto" w:line="240" w:before="0" w:after="0"/>
              <w:rPr/>
            </w:pPr>
            <w:r>
              <w:rPr/>
              <w:t>4</w:t>
            </w:r>
          </w:p>
        </w:tc>
        <w:tc>
          <w:tcPr>
            <w:tcW w:w="2880" w:type="dxa"/>
            <w:tcBorders/>
          </w:tcPr>
          <w:p>
            <w:pPr>
              <w:pStyle w:val="Normal"/>
              <w:spacing w:lineRule="auto" w:line="240" w:before="0" w:after="0"/>
              <w:rPr/>
            </w:pPr>
            <w:r>
              <w:rPr/>
              <w:t>Social Impact / Customer Satisfaction</w:t>
            </w:r>
          </w:p>
        </w:tc>
        <w:tc>
          <w:tcPr>
            <w:tcW w:w="2880" w:type="dxa"/>
            <w:tcBorders/>
          </w:tcPr>
          <w:p>
            <w:pPr>
              <w:pStyle w:val="Normal"/>
              <w:spacing w:lineRule="auto" w:line="240" w:before="0" w:after="0"/>
              <w:rPr/>
            </w:pPr>
            <w:r>
              <w:rPr/>
              <w:t>The platform improves accessibility to online shopping for students, professionals, and small businesses. It provides secure transactions, transparent product information, faster order management, improved customer satisfaction, and encourages digital commerce through a user-friendly interface.</w:t>
            </w:r>
          </w:p>
        </w:tc>
      </w:tr>
      <w:tr>
        <w:trPr/>
        <w:tc>
          <w:tcPr>
            <w:tcW w:w="2880" w:type="dxa"/>
            <w:tcBorders/>
          </w:tcPr>
          <w:p>
            <w:pPr>
              <w:pStyle w:val="Normal"/>
              <w:spacing w:lineRule="auto" w:line="240" w:before="0" w:after="0"/>
              <w:rPr/>
            </w:pPr>
            <w:r>
              <w:rPr/>
              <w:t>5</w:t>
            </w:r>
          </w:p>
        </w:tc>
        <w:tc>
          <w:tcPr>
            <w:tcW w:w="2880" w:type="dxa"/>
            <w:tcBorders/>
          </w:tcPr>
          <w:p>
            <w:pPr>
              <w:pStyle w:val="Normal"/>
              <w:spacing w:lineRule="auto" w:line="240" w:before="0" w:after="0"/>
              <w:rPr/>
            </w:pPr>
            <w:r>
              <w:rPr/>
              <w:t>Business Model (Revenue Model)</w:t>
            </w:r>
          </w:p>
        </w:tc>
        <w:tc>
          <w:tcPr>
            <w:tcW w:w="2880" w:type="dxa"/>
            <w:tcBorders/>
          </w:tcPr>
          <w:p>
            <w:pPr>
              <w:pStyle w:val="Normal"/>
              <w:spacing w:lineRule="auto" w:line="240" w:before="0" w:after="0"/>
              <w:rPr/>
            </w:pPr>
            <w:r>
              <w:rPr/>
              <w:t>Revenue can be generated through product sales commissions, premium seller subscriptions, featured product advertisements, delivery charges, affiliate partnerships, and promotional campaigns. Future monetization may include membership plans with exclusive offers.</w:t>
            </w:r>
          </w:p>
        </w:tc>
      </w:tr>
      <w:tr>
        <w:trPr/>
        <w:tc>
          <w:tcPr>
            <w:tcW w:w="2880" w:type="dxa"/>
            <w:tcBorders/>
          </w:tcPr>
          <w:p>
            <w:pPr>
              <w:pStyle w:val="Normal"/>
              <w:spacing w:lineRule="auto" w:line="240" w:before="0" w:after="0"/>
              <w:rPr/>
            </w:pPr>
            <w:r>
              <w:rPr/>
              <w:t>6</w:t>
            </w:r>
          </w:p>
        </w:tc>
        <w:tc>
          <w:tcPr>
            <w:tcW w:w="2880" w:type="dxa"/>
            <w:tcBorders/>
          </w:tcPr>
          <w:p>
            <w:pPr>
              <w:pStyle w:val="Normal"/>
              <w:spacing w:lineRule="auto" w:line="240" w:before="0" w:after="0"/>
              <w:rPr/>
            </w:pPr>
            <w:r>
              <w:rPr/>
              <w:t>Scalability of the Solution</w:t>
            </w:r>
          </w:p>
        </w:tc>
        <w:tc>
          <w:tcPr>
            <w:tcW w:w="2880" w:type="dxa"/>
            <w:tcBorders/>
          </w:tcPr>
          <w:p>
            <w:pPr>
              <w:pStyle w:val="Normal"/>
              <w:spacing w:lineRule="auto" w:line="240" w:before="0" w:after="0"/>
              <w:rPr/>
            </w:pPr>
            <w:r>
              <w:rPr/>
              <w:t>The MERN architecture supports horizontal scaling and cloud deployment. MongoDB Atlas enables scalable data storage, while React and Express support modular development. New features such as Razorpay integration, AI recommendations, multilingual support, mobile applications, and analytics dashboards can be added without major architectural changes.</w:t>
            </w:r>
          </w:p>
        </w:tc>
      </w:tr>
    </w:tbl>
    <w:p>
      <w:pPr>
        <w:pStyle w:val="Heading2"/>
        <w:rPr/>
      </w:pPr>
      <w:r>
        <w:rPr/>
        <w:t>Conclusion</w:t>
      </w:r>
    </w:p>
    <w:p>
      <w:pPr>
        <w:pStyle w:val="Normal"/>
        <w:widowControl/>
        <w:bidi w:val="0"/>
        <w:spacing w:lineRule="auto" w:line="276" w:before="0" w:after="200"/>
        <w:jc w:val="left"/>
        <w:rPr/>
      </w:pPr>
      <w:r>
        <w:rPr/>
        <w:t>Shopezz provides a secure, scalable, and modern e-commerce solution that addresses the limitations of traditional online shopping platforms. Its modular MERN architecture ensures high performance, easy maintenance, and future extensibility, making it suitable for both academic demonstration and real-world deployment.</w:t>
      </w:r>
    </w:p>
    <w:sectPr>
      <w:type w:val="nextPage"/>
      <w:pgSz w:w="12240" w:h="15840"/>
      <w:pgMar w:left="1800" w:right="1800" w:header="0" w:top="1440" w:footer="0" w:bottom="1440" w:gutter="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s>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link w:val="BodyTex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spacing w:before="0" w:after="200"/>
      <w:contextualSpacing/>
    </w:pPr>
    <w:rPr/>
  </w:style>
  <w:style w:type="paragraph" w:styleId="ListBullet2">
    <w:name w:val="List Bullet 2"/>
    <w:basedOn w:val="Normal"/>
    <w:uiPriority w:val="99"/>
    <w:unhideWhenUsed/>
    <w:qFormat/>
    <w:rsid w:val="00326f90"/>
    <w:pPr>
      <w:spacing w:before="0" w:after="200"/>
      <w:contextualSpacing/>
    </w:pPr>
    <w:rPr/>
  </w:style>
  <w:style w:type="paragraph" w:styleId="ListNumber">
    <w:name w:val="List Number"/>
    <w:basedOn w:val="Normal"/>
    <w:uiPriority w:val="99"/>
    <w:unhideWhenUsed/>
    <w:qFormat/>
    <w:rsid w:val="00326f90"/>
    <w:pPr>
      <w:spacing w:before="0" w:after="200"/>
      <w:contextualSpacing/>
    </w:pPr>
    <w:rPr/>
  </w:style>
  <w:style w:type="paragraph" w:styleId="ListNumber2">
    <w:name w:val="List Number 2"/>
    <w:basedOn w:val="Normal"/>
    <w:uiPriority w:val="99"/>
    <w:unhideWhenUsed/>
    <w:qFormat/>
    <w:rsid w:val="0029639d"/>
    <w:pPr>
      <w:spacing w:before="0" w:after="200"/>
      <w:contextualSpacing/>
    </w:pPr>
    <w:rPr/>
  </w:style>
  <w:style w:type="paragraph" w:styleId="ListNumber3">
    <w:name w:val="List Number 3"/>
    <w:basedOn w:val="Normal"/>
    <w:uiPriority w:val="99"/>
    <w:unhideWhenUsed/>
    <w:qFormat/>
    <w:rsid w:val="0029639d"/>
    <w:p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TOCHeading">
    <w:name w:val="TOC Heading"/>
    <w:basedOn w:val="Heading1"/>
    <w:next w:val="Normal"/>
    <w:uiPriority w:val="39"/>
    <w:semiHidden/>
    <w:unhideWhenUsed/>
    <w:qFormat/>
    <w:rsid w:val="00fc693f"/>
    <w:pPr/>
    <w:rPr/>
  </w:style>
  <w:style w:type="numbering" w:styleId="NoList" w:default="1">
    <w:name w:val="No List"/>
    <w:uiPriority w:val="99"/>
    <w:semiHidden/>
    <w:unhideWhenUsed/>
    <w:qForma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LibreOffice/6.4.7.2$Linux_X86_64 LibreOffice_project/40$Build-2</Applicat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2026-07-09T19:23:18Z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