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63f4603e9a9fd8bfcb58d81b9a6a28a9066415e"/>
    <w:p>
      <w:pPr>
        <w:pStyle w:val="1"/>
      </w:pPr>
      <w:r>
        <w:t xml:space="preserve">COMPREHENSIVE FRAUD &amp; CUSTOMER ANALYTICS REPORT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2"/>
      </w:pPr>
      <w:r>
        <w:t xml:space="preserve">EXECUTIVE SUMMARY</w:t>
      </w:r>
    </w:p>
    <w:p>
      <w:pPr>
        <w:pStyle w:val="FirstParagraph"/>
      </w:pPr>
      <w:r>
        <w:t xml:space="preserve">This report presents a complete analysis of transaction fraud patterns, customer segmentation,</w:t>
      </w:r>
      <w:r>
        <w:t xml:space="preserve"> </w:t>
      </w:r>
      <w:r>
        <w:t xml:space="preserve">and spending behavior across six datasets. The analysis reveals critical insights into fraud</w:t>
      </w:r>
      <w:r>
        <w:t xml:space="preserve"> </w:t>
      </w:r>
      <w:r>
        <w:t xml:space="preserve">distribution, temporal patterns, customer value distribution, and high-risk profiles.</w:t>
      </w:r>
    </w:p>
    <w:p>
      <w:pPr>
        <w:pStyle w:val="a0"/>
      </w:pPr>
      <w:r>
        <w:rPr>
          <w:b/>
          <w:bCs/>
        </w:rPr>
        <w:t xml:space="preserve">Key Findings at a Glance:</w:t>
      </w:r>
      <w:r>
        <w:t xml:space="preserve"> </w:t>
      </w:r>
      <w:r>
        <w:t xml:space="preserve">- Total fraud exposure:</w:t>
      </w:r>
      <w:r>
        <w:t xml:space="preserve"> </w:t>
      </w:r>
      <w:r>
        <w:rPr>
          <w:b/>
          <w:bCs/>
        </w:rPr>
        <w:t xml:space="preserve">$89,249.84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1,000 incidents</w:t>
      </w:r>
      <w:r>
        <w:t xml:space="preserve"> </w:t>
      </w:r>
      <w:r>
        <w:t xml:space="preserve">- All</w:t>
      </w:r>
      <w:r>
        <w:t xml:space="preserve"> </w:t>
      </w:r>
      <w:r>
        <w:rPr>
          <w:b/>
          <w:bCs/>
        </w:rPr>
        <w:t xml:space="preserve">546 tracked customers</w:t>
      </w:r>
      <w:r>
        <w:t xml:space="preserve"> </w:t>
      </w:r>
      <w:r>
        <w:t xml:space="preserve">are currently</w:t>
      </w:r>
      <w:r>
        <w:t xml:space="preserve"> </w:t>
      </w:r>
      <w:r>
        <w:rPr>
          <w:b/>
          <w:bCs/>
        </w:rPr>
        <w:t xml:space="preserve">inactive</w:t>
      </w:r>
      <w:r>
        <w:t xml:space="preserve"> </w:t>
      </w:r>
      <w:r>
        <w:t xml:space="preserve">(100% churn rate)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Grocery POS</w:t>
      </w:r>
      <w:r>
        <w:t xml:space="preserve"> </w:t>
      </w:r>
      <w:r>
        <w:t xml:space="preserve">is the highest-risk category ($20,347 — 22.8% of total fraud)</w:t>
      </w:r>
      <w:r>
        <w:t xml:space="preserve"> </w:t>
      </w:r>
      <w:r>
        <w:t xml:space="preserve">- Peak fraud activity occurs at</w:t>
      </w:r>
      <w:r>
        <w:t xml:space="preserve"> </w:t>
      </w:r>
      <w:r>
        <w:rPr>
          <w:b/>
          <w:bCs/>
        </w:rPr>
        <w:t xml:space="preserve">11:00 AM</w:t>
      </w:r>
      <w:r>
        <w:t xml:space="preserve"> </w:t>
      </w:r>
      <w:r>
        <w:t xml:space="preserve">(62 incidents)</w:t>
      </w:r>
      <w:r>
        <w:t xml:space="preserve"> </w:t>
      </w:r>
      <w:r>
        <w:t xml:space="preserve">- Only</w:t>
      </w:r>
      <w:r>
        <w:t xml:space="preserve"> </w:t>
      </w:r>
      <w:r>
        <w:rPr>
          <w:b/>
          <w:bCs/>
        </w:rPr>
        <w:t xml:space="preserve">1.8%</w:t>
      </w:r>
      <w:r>
        <w:t xml:space="preserve"> </w:t>
      </w:r>
      <w:r>
        <w:t xml:space="preserve">of customers are classified as</w:t>
      </w:r>
      <w:r>
        <w:t xml:space="preserve"> </w:t>
      </w:r>
      <w:r>
        <w:t xml:space="preserve">“</w:t>
      </w:r>
      <w:r>
        <w:t xml:space="preserve">Medium Value</w:t>
      </w:r>
      <w:r>
        <w:t xml:space="preserve">”</w:t>
      </w:r>
      <w:r>
        <w:t xml:space="preserve"> </w:t>
      </w:r>
      <w:r>
        <w:t xml:space="preserve">(10 out of 547)</w:t>
      </w:r>
      <w:r>
        <w:t xml:space="preserve"> </w:t>
      </w:r>
      <w:r>
        <w:t xml:space="preserve">- Top spender:</w:t>
      </w:r>
      <w:r>
        <w:t xml:space="preserve"> </w:t>
      </w:r>
      <w:r>
        <w:rPr>
          <w:b/>
          <w:bCs/>
        </w:rPr>
        <w:t xml:space="preserve">Benjamin Harris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$4,221.72</w:t>
      </w:r>
    </w:p>
    <w:p>
      <w:r>
        <w:pict>
          <v:rect style="width:0;height:1.5pt" o:hralign="center" o:hrstd="t" o:hr="t"/>
        </w:pict>
      </w:r>
    </w:p>
    <w:bookmarkEnd w:id="20"/>
    <w:bookmarkStart w:id="24" w:name="X2221bf1338adf4e3bda202273242fa3aba57266"/>
    <w:p>
      <w:pPr>
        <w:pStyle w:val="2"/>
      </w:pPr>
      <w:r>
        <w:t xml:space="preserve">SECTION 1: ACTIVE/INACTIVE CUSTOMER ANALYSIS</w:t>
      </w:r>
    </w:p>
    <w:bookmarkStart w:id="21" w:name="dataset-overview"/>
    <w:p>
      <w:pPr>
        <w:pStyle w:val="3"/>
      </w:pPr>
      <w:r>
        <w:t xml:space="preserve">Dataset Overview</w:t>
      </w:r>
    </w:p>
    <w:p>
      <w:pPr>
        <w:pStyle w:val="FirstParagraph"/>
      </w:pPr>
      <w:r>
        <w:t xml:space="preserve">The Active_Inactive_Customers.csv contains</w:t>
      </w:r>
      <w:r>
        <w:t xml:space="preserve"> </w:t>
      </w:r>
      <w:r>
        <w:rPr>
          <w:b/>
          <w:bCs/>
        </w:rPr>
        <w:t xml:space="preserve">546 customer records</w:t>
      </w:r>
      <w:r>
        <w:t xml:space="preserve"> </w:t>
      </w:r>
      <w:r>
        <w:t xml:space="preserve">with status and</w:t>
      </w:r>
      <w:r>
        <w:t xml:space="preserve"> </w:t>
      </w:r>
      <w:r>
        <w:t xml:space="preserve">inactivation dates spanning from January 2019 to June 2020.</w:t>
      </w:r>
    </w:p>
    <w:bookmarkEnd w:id="21"/>
    <w:bookmarkStart w:id="22" w:name="key-metrics"/>
    <w:p>
      <w:pPr>
        <w:pStyle w:val="3"/>
      </w:pPr>
      <w:r>
        <w:t xml:space="preserve">Key Metrics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Inactive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Churn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2019 – Jun 2020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Peak Inactivation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2019 (65 customers)</w:t>
            </w:r>
          </w:p>
        </w:tc>
      </w:tr>
    </w:tbl>
    <w:bookmarkEnd w:id="22"/>
    <w:bookmarkStart w:id="23" w:name="analysis-insights"/>
    <w:p>
      <w:pPr>
        <w:pStyle w:val="3"/>
      </w:pPr>
      <w:r>
        <w:t xml:space="preserve">Analysis Insights</w:t>
      </w:r>
    </w:p>
    <w:p>
      <w:pPr>
        <w:pStyle w:val="FirstParagraph"/>
      </w:pPr>
      <w:r>
        <w:rPr>
          <w:b/>
          <w:bCs/>
        </w:rPr>
        <w:t xml:space="preserve">1. Complete Customer Churn:</w:t>
      </w:r>
      <w:r>
        <w:t xml:space="preserve"> </w:t>
      </w:r>
      <w:r>
        <w:t xml:space="preserve">Every single tracked customer is inactive, indicating a</w:t>
      </w:r>
      <w:r>
        <w:t xml:space="preserve"> </w:t>
      </w:r>
      <w:r>
        <w:t xml:space="preserve">severe retention crisis. This 100% churn rate is extraordinarily high and demands immediate</w:t>
      </w:r>
      <w:r>
        <w:t xml:space="preserve"> </w:t>
      </w:r>
      <w:r>
        <w:t xml:space="preserve">investigation into root causes — whether due to account closures, fraud-driven exits,</w:t>
      </w:r>
      <w:r>
        <w:t xml:space="preserve"> </w:t>
      </w:r>
      <w:r>
        <w:t xml:space="preserve">or data collection limitations.</w:t>
      </w:r>
    </w:p>
    <w:p>
      <w:pPr>
        <w:pStyle w:val="a0"/>
      </w:pPr>
      <w:r>
        <w:rPr>
          <w:b/>
          <w:bCs/>
        </w:rPr>
        <w:t xml:space="preserve">2. Seasonal Inactivation Pattern:</w:t>
      </w:r>
      <w:r>
        <w:t xml:space="preserve"> </w:t>
      </w:r>
      <w:r>
        <w:t xml:space="preserve">The monthly trend shows a significant spike in</w:t>
      </w:r>
      <w:r>
        <w:t xml:space="preserve"> </w:t>
      </w:r>
      <w:r>
        <w:t xml:space="preserve">December 2019 (65 customers), suggesting potential holiday-season fraud impact or</w:t>
      </w:r>
      <w:r>
        <w:t xml:space="preserve"> </w:t>
      </w:r>
      <w:r>
        <w:t xml:space="preserve">end-of-year account cleanup. The pattern shows gradual acceleration through 2019,</w:t>
      </w:r>
      <w:r>
        <w:t xml:space="preserve"> </w:t>
      </w:r>
      <w:r>
        <w:t xml:space="preserve">peaking in Q4, then stabilizing in early 2020.</w:t>
      </w:r>
    </w:p>
    <w:p>
      <w:pPr>
        <w:pStyle w:val="a0"/>
      </w:pPr>
      <w:r>
        <w:rPr>
          <w:b/>
          <w:bCs/>
        </w:rPr>
        <w:t xml:space="preserve">3. Yearly Distribution:</w:t>
      </w:r>
      <w:r>
        <w:t xml:space="preserve"> </w:t>
      </w:r>
      <w:r>
        <w:t xml:space="preserve">2019 accounts for</w:t>
      </w:r>
      <w:r>
        <w:t xml:space="preserve"> </w:t>
      </w:r>
      <w:r>
        <w:rPr>
          <w:b/>
          <w:bCs/>
        </w:rPr>
        <w:t xml:space="preserve">310 inactivations (56.8%)</w:t>
      </w:r>
      <w:r>
        <w:t xml:space="preserve"> </w:t>
      </w:r>
      <w:r>
        <w:t xml:space="preserve">versus</w:t>
      </w:r>
      <w:r>
        <w:t xml:space="preserve"> </w:t>
      </w:r>
      <w:r>
        <w:rPr>
          <w:b/>
          <w:bCs/>
        </w:rPr>
        <w:t xml:space="preserve">236 in 2020 (43.2%)</w:t>
      </w:r>
      <w:r>
        <w:t xml:space="preserve">. The 2020 data is partial (through June), so annualized 2020</w:t>
      </w:r>
      <w:r>
        <w:t xml:space="preserve"> </w:t>
      </w:r>
      <w:r>
        <w:t xml:space="preserve">would likely exceed 2019.</w:t>
      </w:r>
    </w:p>
    <w:p>
      <w:pPr>
        <w:pStyle w:val="a0"/>
      </w:pPr>
      <w:r>
        <w:rPr>
          <w:b/>
          <w:bCs/>
        </w:rPr>
        <w:t xml:space="preserve">4. Name Frequency Analysis:</w:t>
      </w:r>
      <w:r>
        <w:t xml:space="preserve"> </w:t>
      </w:r>
      <w:r>
        <w:t xml:space="preserve">“</w:t>
      </w:r>
      <w:r>
        <w:t xml:space="preserve">Smith</w:t>
      </w:r>
      <w:r>
        <w:t xml:space="preserve">”</w:t>
      </w:r>
      <w:r>
        <w:t xml:space="preserve"> </w:t>
      </w:r>
      <w:r>
        <w:t xml:space="preserve">is the most common surname (13 occurrences),</w:t>
      </w:r>
      <w:r>
        <w:t xml:space="preserve"> </w:t>
      </w:r>
      <w:r>
        <w:t xml:space="preserve">followed by Davis and Jones (8 each). This demographic insight could help target</w:t>
      </w:r>
      <w:r>
        <w:t xml:space="preserve"> </w:t>
      </w:r>
      <w:r>
        <w:t xml:space="preserve">retention campaigns.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section-2-customer-segmentation-analysis"/>
    <w:p>
      <w:pPr>
        <w:pStyle w:val="2"/>
      </w:pPr>
      <w:r>
        <w:t xml:space="preserve">SECTION 2: CUSTOMER SEGMENTATION ANALYSIS</w:t>
      </w:r>
    </w:p>
    <w:bookmarkStart w:id="25" w:name="dataset-overview-1"/>
    <w:p>
      <w:pPr>
        <w:pStyle w:val="3"/>
      </w:pPr>
      <w:r>
        <w:t xml:space="preserve">Dataset Overview</w:t>
      </w:r>
    </w:p>
    <w:p>
      <w:pPr>
        <w:pStyle w:val="FirstParagraph"/>
      </w:pPr>
      <w:r>
        <w:t xml:space="preserve">Customer_Segmentation.csv contains</w:t>
      </w:r>
      <w:r>
        <w:t xml:space="preserve"> </w:t>
      </w:r>
      <w:r>
        <w:rPr>
          <w:b/>
          <w:bCs/>
        </w:rPr>
        <w:t xml:space="preserve">547 customer records</w:t>
      </w:r>
      <w:r>
        <w:t xml:space="preserve"> </w:t>
      </w:r>
      <w:r>
        <w:t xml:space="preserve">with transaction amounts</w:t>
      </w:r>
      <w:r>
        <w:t xml:space="preserve"> </w:t>
      </w:r>
      <w:r>
        <w:t xml:space="preserve">and value classifications (Low/Medium Value).</w:t>
      </w:r>
    </w:p>
    <w:bookmarkEnd w:id="25"/>
    <w:bookmarkStart w:id="26" w:name="key-metrics-1"/>
    <w:p>
      <w:pPr>
        <w:pStyle w:val="3"/>
      </w:pPr>
      <w:r>
        <w:t xml:space="preserve">Key Metrics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$89,249.84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$163.16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$4,221.72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Value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537 (98.2%)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Value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(1.8%)</w:t>
            </w:r>
          </w:p>
        </w:tc>
      </w:tr>
    </w:tbl>
    <w:bookmarkEnd w:id="26"/>
    <w:bookmarkStart w:id="27" w:name="analysis-insights-1"/>
    <w:p>
      <w:pPr>
        <w:pStyle w:val="3"/>
      </w:pPr>
      <w:r>
        <w:t xml:space="preserve">Analysis Insights</w:t>
      </w:r>
    </w:p>
    <w:p>
      <w:pPr>
        <w:pStyle w:val="FirstParagraph"/>
      </w:pPr>
      <w:r>
        <w:rPr>
          <w:b/>
          <w:bCs/>
        </w:rPr>
        <w:t xml:space="preserve">1. Extreme Value Concentration:</w:t>
      </w:r>
      <w:r>
        <w:t xml:space="preserve"> </w:t>
      </w:r>
      <w:r>
        <w:t xml:space="preserve">The customer base is heavily skewed toward low-value</w:t>
      </w:r>
      <w:r>
        <w:t xml:space="preserve"> </w:t>
      </w:r>
      <w:r>
        <w:t xml:space="preserve">transactions. With 98.2% classified as</w:t>
      </w:r>
      <w:r>
        <w:t xml:space="preserve"> </w:t>
      </w:r>
      <w:r>
        <w:t xml:space="preserve">“</w:t>
      </w:r>
      <w:r>
        <w:t xml:space="preserve">Low Value,</w:t>
      </w:r>
      <w:r>
        <w:t xml:space="preserve">”</w:t>
      </w:r>
      <w:r>
        <w:t xml:space="preserve"> </w:t>
      </w:r>
      <w:r>
        <w:t xml:space="preserve">the business has minimal high-value</w:t>
      </w:r>
      <w:r>
        <w:t xml:space="preserve"> </w:t>
      </w:r>
      <w:r>
        <w:t xml:space="preserve">customer penetration. The 10 medium-value customers generate disproportionate revenue</w:t>
      </w:r>
      <w:r>
        <w:t xml:space="preserve"> </w:t>
      </w:r>
      <w:r>
        <w:t xml:space="preserve">relative to their count.</w:t>
      </w:r>
    </w:p>
    <w:p>
      <w:pPr>
        <w:pStyle w:val="a0"/>
      </w:pPr>
      <w:r>
        <w:rPr>
          <w:b/>
          <w:bCs/>
        </w:rPr>
        <w:t xml:space="preserve">2. Revenue Distribution:</w:t>
      </w:r>
      <w:r>
        <w:t xml:space="preserve"> </w:t>
      </w:r>
      <w:r>
        <w:t xml:space="preserve">Total revenue of $89,249.84 comes almost entirely from</w:t>
      </w:r>
      <w:r>
        <w:t xml:space="preserve"> </w:t>
      </w:r>
      <w:r>
        <w:t xml:space="preserve">low-value customers ($70,686), while medium-value customers contribute $18,564. Despite</w:t>
      </w:r>
      <w:r>
        <w:t xml:space="preserve"> </w:t>
      </w:r>
      <w:r>
        <w:t xml:space="preserve">being only 1.8% of the base, medium-value customers account for</w:t>
      </w:r>
      <w:r>
        <w:t xml:space="preserve"> </w:t>
      </w:r>
      <w:r>
        <w:rPr>
          <w:b/>
          <w:bCs/>
        </w:rPr>
        <w:t xml:space="preserve">20.8% of revenue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3. Transaction Amount Distribution:</w:t>
      </w:r>
      <w:r>
        <w:t xml:space="preserve"> </w:t>
      </w:r>
      <w:r>
        <w:t xml:space="preserve">The histogram reveals a heavily right-skewed</w:t>
      </w:r>
      <w:r>
        <w:t xml:space="preserve"> </w:t>
      </w:r>
      <w:r>
        <w:t xml:space="preserve">distribution. Most transactions cluster below $500, with a long tail extending to $4,221.72.</w:t>
      </w:r>
      <w:r>
        <w:t xml:space="preserve"> </w:t>
      </w:r>
      <w:r>
        <w:t xml:space="preserve">The median ($90.90) is significantly lower than the mean ($163.16), confirming the</w:t>
      </w:r>
      <w:r>
        <w:t xml:space="preserve"> </w:t>
      </w:r>
      <w:r>
        <w:t xml:space="preserve">presence of high-value outliers pulling the average upward.</w:t>
      </w:r>
    </w:p>
    <w:p>
      <w:pPr>
        <w:pStyle w:val="a0"/>
      </w:pPr>
      <w:r>
        <w:rPr>
          <w:b/>
          <w:bCs/>
        </w:rPr>
        <w:t xml:space="preserve">4. Top Customer Profiles:</w:t>
      </w:r>
      <w:r>
        <w:t xml:space="preserve"> </w:t>
      </w:r>
      <w:r>
        <w:t xml:space="preserve">Benjamin Harris ($4,221.72), Ashley Cruz ($3,208.68),</w:t>
      </w:r>
      <w:r>
        <w:t xml:space="preserve"> </w:t>
      </w:r>
      <w:r>
        <w:t xml:space="preserve">and Lisa Mendez ($2,491.70) represent the top tier. These three customers alone account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$9,922.10</w:t>
      </w:r>
      <w:r>
        <w:t xml:space="preserve"> </w:t>
      </w:r>
      <w:r>
        <w:t xml:space="preserve">— over 11% of total revenue.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section-3-fraud-analysis-by-category"/>
    <w:p>
      <w:pPr>
        <w:pStyle w:val="2"/>
      </w:pPr>
      <w:r>
        <w:t xml:space="preserve">SECTION 3: FRAUD ANALYSIS BY CATEGORY</w:t>
      </w:r>
    </w:p>
    <w:bookmarkStart w:id="29" w:name="dataset-overview-2"/>
    <w:p>
      <w:pPr>
        <w:pStyle w:val="3"/>
      </w:pPr>
      <w:r>
        <w:t xml:space="preserve">Dataset Overview</w:t>
      </w:r>
    </w:p>
    <w:p>
      <w:pPr>
        <w:pStyle w:val="FirstParagraph"/>
      </w:pPr>
      <w:r>
        <w:t xml:space="preserve">fraud_count_category.csv contains</w:t>
      </w:r>
      <w:r>
        <w:t xml:space="preserve"> </w:t>
      </w:r>
      <w:r>
        <w:rPr>
          <w:b/>
          <w:bCs/>
        </w:rPr>
        <w:t xml:space="preserve">14 transaction categories</w:t>
      </w:r>
      <w:r>
        <w:t xml:space="preserve"> </w:t>
      </w:r>
      <w:r>
        <w:t xml:space="preserve">with fraud counts and</w:t>
      </w:r>
      <w:r>
        <w:t xml:space="preserve"> </w:t>
      </w:r>
      <w:r>
        <w:t xml:space="preserve">total fraud amounts.</w:t>
      </w:r>
    </w:p>
    <w:bookmarkEnd w:id="29"/>
    <w:bookmarkStart w:id="30" w:name="key-metrics-2"/>
    <w:p>
      <w:pPr>
        <w:pStyle w:val="3"/>
      </w:pPr>
      <w:r>
        <w:t xml:space="preserve">Key Metrics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Fraud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$89,249.84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Fraud 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per 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Highest Risk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Grocery POS ($20,347)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Most Frequent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Grocery POS (178 incidents)</w:t>
            </w:r>
          </w:p>
        </w:tc>
      </w:tr>
    </w:tbl>
    <w:bookmarkEnd w:id="30"/>
    <w:bookmarkStart w:id="31" w:name="category-breakdown-top-5"/>
    <w:p>
      <w:pPr>
        <w:pStyle w:val="3"/>
      </w:pPr>
      <w:r>
        <w:t xml:space="preserve">Category Breakdown (Top 5)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Avg/Incident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Grocery 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$114.31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Shopping 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$165.73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Gas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$64.49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Shopping 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Misc 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8.9%</w:t>
            </w:r>
          </w:p>
        </w:tc>
      </w:tr>
    </w:tbl>
    <w:bookmarkEnd w:id="31"/>
    <w:bookmarkStart w:id="32" w:name="analysis-insights-2"/>
    <w:p>
      <w:pPr>
        <w:pStyle w:val="3"/>
      </w:pPr>
      <w:r>
        <w:t xml:space="preserve">Analysis Insights</w:t>
      </w:r>
    </w:p>
    <w:p>
      <w:pPr>
        <w:pStyle w:val="FirstParagraph"/>
      </w:pPr>
      <w:r>
        <w:rPr>
          <w:b/>
          <w:bCs/>
        </w:rPr>
        <w:t xml:space="preserve">1. Grocery POS Dominates Risk:</w:t>
      </w:r>
      <w:r>
        <w:t xml:space="preserve"> </w:t>
      </w:r>
      <w:r>
        <w:t xml:space="preserve">Despite not having the highest average per incident</w:t>
      </w:r>
      <w:r>
        <w:t xml:space="preserve"> </w:t>
      </w:r>
      <w:r>
        <w:t xml:space="preserve">($114.31), Grocery POS leads in both total amount ($20,347) and incident count (178)</w:t>
      </w:r>
      <w:r>
        <w:t xml:space="preserve"> </w:t>
      </w:r>
      <w:r>
        <w:t xml:space="preserve">due to high transaction volume. This makes it the #1 priority for fraud prevention.</w:t>
      </w:r>
    </w:p>
    <w:p>
      <w:pPr>
        <w:pStyle w:val="a0"/>
      </w:pPr>
      <w:r>
        <w:rPr>
          <w:b/>
          <w:bCs/>
        </w:rPr>
        <w:t xml:space="preserve">2. Shopping Net — High-Value Threat:</w:t>
      </w:r>
      <w:r>
        <w:t xml:space="preserve"> </w:t>
      </w:r>
      <w:r>
        <w:t xml:space="preserve">With an average of</w:t>
      </w:r>
      <w:r>
        <w:t xml:space="preserve"> </w:t>
      </w:r>
      <w:r>
        <w:rPr>
          <w:b/>
          <w:bCs/>
        </w:rPr>
        <w:t xml:space="preserve">$165.73 per incident</w:t>
      </w:r>
      <w:r>
        <w:t xml:space="preserve">,</w:t>
      </w:r>
      <w:r>
        <w:t xml:space="preserve"> </w:t>
      </w:r>
      <w:r>
        <w:t xml:space="preserve">Shopping Net has the second-highest per-incident cost among major categories. While fewer</w:t>
      </w:r>
      <w:r>
        <w:t xml:space="preserve"> </w:t>
      </w:r>
      <w:r>
        <w:t xml:space="preserve">incidents than Grocery POS, each fraud event is more costly.</w:t>
      </w:r>
    </w:p>
    <w:p>
      <w:pPr>
        <w:pStyle w:val="a0"/>
      </w:pPr>
      <w:r>
        <w:rPr>
          <w:b/>
          <w:bCs/>
        </w:rPr>
        <w:t xml:space="preserve">3. Travel — Highest Per-Incident Cost: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$244.69 per incident</w:t>
      </w:r>
      <w:r>
        <w:t xml:space="preserve">, Travel fraud</w:t>
      </w:r>
      <w:r>
        <w:t xml:space="preserve"> </w:t>
      </w:r>
      <w:r>
        <w:t xml:space="preserve">is the most expensive per event, though with only 6 incidents. This suggests targeted,</w:t>
      </w:r>
      <w:r>
        <w:t xml:space="preserve"> </w:t>
      </w:r>
      <w:r>
        <w:t xml:space="preserve">high-value fraud in travel bookings.</w:t>
      </w:r>
    </w:p>
    <w:p>
      <w:pPr>
        <w:pStyle w:val="a0"/>
      </w:pPr>
      <w:r>
        <w:rPr>
          <w:b/>
          <w:bCs/>
        </w:rPr>
        <w:t xml:space="preserve">4. Low-Frequency Categories:</w:t>
      </w:r>
      <w:r>
        <w:t xml:space="preserve"> </w:t>
      </w:r>
      <w:r>
        <w:t xml:space="preserve">Health Fitness ($26.96 avg), Kids Pets ($35.35), and</w:t>
      </w:r>
      <w:r>
        <w:t xml:space="preserve"> </w:t>
      </w:r>
      <w:r>
        <w:t xml:space="preserve">Personal Care ($72.82) show lower per-incident costs but still contribute to overall exposure.</w:t>
      </w:r>
    </w:p>
    <w:p>
      <w:pPr>
        <w:pStyle w:val="a0"/>
      </w:pPr>
      <w:r>
        <w:rPr>
          <w:b/>
          <w:bCs/>
        </w:rPr>
        <w:t xml:space="preserve">5. Count vs. Amount Scatter Plot:</w:t>
      </w:r>
      <w:r>
        <w:t xml:space="preserve"> </w:t>
      </w:r>
      <w:r>
        <w:t xml:space="preserve">The scatter analysis reveals two distinct fraud</w:t>
      </w:r>
      <w:r>
        <w:t xml:space="preserve"> </w:t>
      </w:r>
      <w:r>
        <w:t xml:space="preserve">profiles: high-frequency/low-amount (Grocery POS, Gas Transport) and low-frequency/high-amount</w:t>
      </w:r>
      <w:r>
        <w:t xml:space="preserve"> </w:t>
      </w:r>
      <w:r>
        <w:t xml:space="preserve">(Travel, Shopping Net). Prevention strategies should differ for each profile.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section-4-hourly-fraud-pattern-analysis"/>
    <w:p>
      <w:pPr>
        <w:pStyle w:val="2"/>
      </w:pPr>
      <w:r>
        <w:t xml:space="preserve">SECTION 4: HOURLY FRAUD PATTERN ANALYSIS</w:t>
      </w:r>
    </w:p>
    <w:bookmarkStart w:id="34" w:name="dataset-overview-3"/>
    <w:p>
      <w:pPr>
        <w:pStyle w:val="3"/>
      </w:pPr>
      <w:r>
        <w:t xml:space="preserve">Dataset Overview</w:t>
      </w:r>
    </w:p>
    <w:p>
      <w:pPr>
        <w:pStyle w:val="FirstParagraph"/>
      </w:pPr>
      <w:r>
        <w:t xml:space="preserve">Hourly_Frauds.csv contains</w:t>
      </w:r>
      <w:r>
        <w:t xml:space="preserve"> </w:t>
      </w:r>
      <w:r>
        <w:rPr>
          <w:b/>
          <w:bCs/>
        </w:rPr>
        <w:t xml:space="preserve">24 hourly records</w:t>
      </w:r>
      <w:r>
        <w:t xml:space="preserve"> </w:t>
      </w:r>
      <w:r>
        <w:t xml:space="preserve">showing fraud incident distribution</w:t>
      </w:r>
      <w:r>
        <w:t xml:space="preserve"> </w:t>
      </w:r>
      <w:r>
        <w:t xml:space="preserve">across a full day.</w:t>
      </w:r>
    </w:p>
    <w:bookmarkEnd w:id="34"/>
    <w:bookmarkStart w:id="35" w:name="key-metrics-3"/>
    <w:p>
      <w:pPr>
        <w:pStyle w:val="3"/>
      </w:pPr>
      <w:r>
        <w:t xml:space="preserve">Key Metrics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Daily 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Peak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 AM (62 incidents)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Lowest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 PM (26 incidents)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per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Morning (6-11)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313 incidents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Afternoon (12-17)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 incidents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Evening (18-23)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 incidents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Night (0-5)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302 incidents</w:t>
            </w:r>
          </w:p>
        </w:tc>
      </w:tr>
    </w:tbl>
    <w:bookmarkEnd w:id="35"/>
    <w:bookmarkStart w:id="36" w:name="analysis-insights-3"/>
    <w:p>
      <w:pPr>
        <w:pStyle w:val="3"/>
      </w:pPr>
      <w:r>
        <w:t xml:space="preserve">Analysis Insights</w:t>
      </w:r>
    </w:p>
    <w:p>
      <w:pPr>
        <w:pStyle w:val="FirstParagraph"/>
      </w:pPr>
      <w:r>
        <w:rPr>
          <w:b/>
          <w:bCs/>
        </w:rPr>
        <w:t xml:space="preserve">1. Morning Peak Risk:</w:t>
      </w:r>
      <w:r>
        <w:t xml:space="preserve"> </w:t>
      </w:r>
      <w:r>
        <w:t xml:space="preserve">The 11:00 AM peak (62 incidents, 6.2% of daily total) suggests</w:t>
      </w:r>
      <w:r>
        <w:t xml:space="preserve"> </w:t>
      </w:r>
      <w:r>
        <w:t xml:space="preserve">fraudsters exploit mid-morning transaction volumes when systems may be processing high</w:t>
      </w:r>
      <w:r>
        <w:t xml:space="preserve"> </w:t>
      </w:r>
      <w:r>
        <w:t xml:space="preserve">volumes of legitimate transactions. This could indicate coordinated attacks during</w:t>
      </w:r>
      <w:r>
        <w:t xml:space="preserve"> </w:t>
      </w:r>
      <w:r>
        <w:t xml:space="preserve">business hours.</w:t>
      </w:r>
    </w:p>
    <w:p>
      <w:pPr>
        <w:pStyle w:val="a0"/>
      </w:pPr>
      <w:r>
        <w:rPr>
          <w:b/>
          <w:bCs/>
        </w:rPr>
        <w:t xml:space="preserve">2. Nighttime Vulnerability:</w:t>
      </w:r>
      <w:r>
        <w:t xml:space="preserve"> </w:t>
      </w:r>
      <w:r>
        <w:t xml:space="preserve">Surprisingly, the Night period (0-5 AM) accounts for</w:t>
      </w:r>
      <w:r>
        <w:t xml:space="preserve"> </w:t>
      </w:r>
      <w:r>
        <w:rPr>
          <w:b/>
          <w:bCs/>
        </w:rPr>
        <w:t xml:space="preserve">302 incidents (30.2%)</w:t>
      </w:r>
      <w:r>
        <w:t xml:space="preserve">, nearly matching the Morning period. This contradicts typical</w:t>
      </w:r>
      <w:r>
        <w:t xml:space="preserve"> </w:t>
      </w:r>
      <w:r>
        <w:t xml:space="preserve">assumptions that fraud decreases overnight and may indicate automated/bot-driven fraud</w:t>
      </w:r>
      <w:r>
        <w:t xml:space="preserve"> </w:t>
      </w:r>
      <w:r>
        <w:t xml:space="preserve">activity during low-staffing hours.</w:t>
      </w:r>
    </w:p>
    <w:p>
      <w:pPr>
        <w:pStyle w:val="a0"/>
      </w:pPr>
      <w:r>
        <w:rPr>
          <w:b/>
          <w:bCs/>
        </w:rPr>
        <w:t xml:space="preserve">3. Afternoon Lull:</w:t>
      </w:r>
      <w:r>
        <w:t xml:space="preserve"> </w:t>
      </w:r>
      <w:r>
        <w:t xml:space="preserve">The Afternoon period (12-17) shows the lowest activity at</w:t>
      </w:r>
      <w:r>
        <w:t xml:space="preserve"> </w:t>
      </w:r>
      <w:r>
        <w:t xml:space="preserve">190 incidents. This could represent a natural dip or effective afternoon monitoring.</w:t>
      </w:r>
    </w:p>
    <w:p>
      <w:pPr>
        <w:pStyle w:val="a0"/>
      </w:pPr>
      <w:r>
        <w:rPr>
          <w:b/>
          <w:bCs/>
        </w:rPr>
        <w:t xml:space="preserve">4. Above-Average Hours:</w:t>
      </w:r>
      <w:r>
        <w:t xml:space="preserve"> </w:t>
      </w:r>
      <w:r>
        <w:t xml:space="preserve">11 hours exceed the daily average of 41.7 incidents. These</w:t>
      </w:r>
      <w:r>
        <w:t xml:space="preserve"> </w:t>
      </w:r>
      <w:r>
        <w:t xml:space="preserve">concentrated risk windows should receive enhanced monitoring and real-time alerts.</w:t>
      </w:r>
    </w:p>
    <w:p>
      <w:pPr>
        <w:pStyle w:val="a0"/>
      </w:pPr>
      <w:r>
        <w:rPr>
          <w:b/>
          <w:bCs/>
        </w:rPr>
        <w:t xml:space="preserve">5. Heatmap Visualization:</w:t>
      </w:r>
      <w:r>
        <w:t xml:space="preserve"> </w:t>
      </w:r>
      <w:r>
        <w:t xml:space="preserve">The color-coded hourly chart clearly shows the</w:t>
      </w:r>
      <w:r>
        <w:t xml:space="preserve"> </w:t>
      </w:r>
      <w:r>
        <w:t xml:space="preserve">concentration of risk in early morning hours (0-3 AM) and late morning (10-11 AM),</w:t>
      </w:r>
      <w:r>
        <w:t xml:space="preserve"> </w:t>
      </w:r>
      <w:r>
        <w:t xml:space="preserve">with a secondary cluster around midnight.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X9b0a7c4a6db4d3770dd157593650997e899e7bc"/>
    <w:p>
      <w:pPr>
        <w:pStyle w:val="2"/>
      </w:pPr>
      <w:r>
        <w:t xml:space="preserve">SECTION 5: MASSIVE VELOCITY FRAUD ANALYSIS</w:t>
      </w:r>
    </w:p>
    <w:bookmarkStart w:id="38" w:name="dataset-overview-4"/>
    <w:p>
      <w:pPr>
        <w:pStyle w:val="3"/>
      </w:pPr>
      <w:r>
        <w:t xml:space="preserve">Dataset Overview</w:t>
      </w:r>
    </w:p>
    <w:p>
      <w:pPr>
        <w:pStyle w:val="FirstParagraph"/>
      </w:pPr>
      <w:r>
        <w:t xml:space="preserve">MassiveVelocityFrauds.csv contains</w:t>
      </w:r>
      <w:r>
        <w:t xml:space="preserve"> </w:t>
      </w:r>
      <w:r>
        <w:rPr>
          <w:b/>
          <w:bCs/>
        </w:rPr>
        <w:t xml:space="preserve">8 high-velocity fraud cases</w:t>
      </w:r>
      <w:r>
        <w:t xml:space="preserve"> </w:t>
      </w:r>
      <w:r>
        <w:t xml:space="preserve">with customer details</w:t>
      </w:r>
      <w:r>
        <w:t xml:space="preserve"> </w:t>
      </w:r>
      <w:r>
        <w:t xml:space="preserve">and amounts.</w:t>
      </w:r>
    </w:p>
    <w:bookmarkEnd w:id="38"/>
    <w:bookmarkStart w:id="39" w:name="key-metrics-4"/>
    <w:p>
      <w:pPr>
        <w:pStyle w:val="3"/>
      </w:pPr>
      <w:r>
        <w:t xml:space="preserve">Key Metrics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$4,337.25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per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$542.16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per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$603.77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$1,007.47 (Nathan Byrd)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$8.37 (Tammy Maldonado)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Velocity = 1</w:t>
            </w:r>
          </w:p>
        </w:tc>
      </w:tr>
    </w:tbl>
    <w:bookmarkEnd w:id="39"/>
    <w:bookmarkStart w:id="40" w:name="case-detail-table"/>
    <w:p>
      <w:pPr>
        <w:pStyle w:val="3"/>
      </w:pPr>
      <w:r>
        <w:t xml:space="preserve">Case Detail Table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Avg?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Nathan Byrd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$1,007.47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Paula Estrada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$991.51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Robert James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$882.64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Jennifer Vega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$792.10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Jeremy Chavez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$315.44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Jeffrey Lewis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Denise Barnett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Tammy Maldonado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bookmarkEnd w:id="40"/>
    <w:bookmarkStart w:id="41" w:name="analysis-insights-4"/>
    <w:p>
      <w:pPr>
        <w:pStyle w:val="3"/>
      </w:pPr>
      <w:r>
        <w:t xml:space="preserve">Analysis Insights</w:t>
      </w:r>
    </w:p>
    <w:p>
      <w:pPr>
        <w:pStyle w:val="FirstParagraph"/>
      </w:pPr>
      <w:r>
        <w:rPr>
          <w:b/>
          <w:bCs/>
        </w:rPr>
        <w:t xml:space="preserve">1. Bimodal Distribution:</w:t>
      </w:r>
      <w:r>
        <w:t xml:space="preserve"> </w:t>
      </w:r>
      <w:r>
        <w:t xml:space="preserve">The cases split into two clear groups: 4 high-value cases</w:t>
      </w:r>
      <w:r>
        <w:t xml:space="preserve"> </w:t>
      </w:r>
      <w:r>
        <w:t xml:space="preserve">($792-$1,007) and 4 low-value cases ($8-$315). This bimodal pattern suggests two distinct</w:t>
      </w:r>
      <w:r>
        <w:t xml:space="preserve"> </w:t>
      </w:r>
      <w:r>
        <w:t xml:space="preserve">fraud mechanisms — possibly manual high-value attacks versus automated low-value testing.</w:t>
      </w:r>
    </w:p>
    <w:p>
      <w:pPr>
        <w:pStyle w:val="a0"/>
      </w:pPr>
      <w:r>
        <w:rPr>
          <w:b/>
          <w:bCs/>
        </w:rPr>
        <w:t xml:space="preserve">2. Top 4 Cases Dominate:</w:t>
      </w:r>
      <w:r>
        <w:t xml:space="preserve"> </w:t>
      </w:r>
      <w:r>
        <w:t xml:space="preserve">The four cases above average ($542.16) account for</w:t>
      </w:r>
      <w:r>
        <w:t xml:space="preserve"> </w:t>
      </w:r>
      <w:r>
        <w:rPr>
          <w:b/>
          <w:bCs/>
        </w:rPr>
        <w:t xml:space="preserve">$3,673.72</w:t>
      </w:r>
      <w:r>
        <w:t xml:space="preserve"> </w:t>
      </w:r>
      <w:r>
        <w:t xml:space="preserve">(84.7% of total velocity fraud). These should be prioritized for investigation and recovery.</w:t>
      </w:r>
    </w:p>
    <w:p>
      <w:pPr>
        <w:pStyle w:val="a0"/>
      </w:pPr>
      <w:r>
        <w:rPr>
          <w:b/>
          <w:bCs/>
        </w:rPr>
        <w:t xml:space="preserve">3. Velocity = 1 Across All Cases:</w:t>
      </w:r>
      <w:r>
        <w:t xml:space="preserve"> </w:t>
      </w:r>
      <w:r>
        <w:t xml:space="preserve">Despite the</w:t>
      </w:r>
      <w:r>
        <w:t xml:space="preserve"> </w:t>
      </w:r>
      <w:r>
        <w:t xml:space="preserve">“</w:t>
      </w:r>
      <w:r>
        <w:t xml:space="preserve">massive velocity</w:t>
      </w:r>
      <w:r>
        <w:t xml:space="preserve">”</w:t>
      </w:r>
      <w:r>
        <w:t xml:space="preserve"> </w:t>
      </w:r>
      <w:r>
        <w:t xml:space="preserve">label, all cases show</w:t>
      </w:r>
      <w:r>
        <w:t xml:space="preserve"> </w:t>
      </w:r>
      <w:r>
        <w:t xml:space="preserve">velocity of 1, suggesting this may represent the first detected incident in a sequence</w:t>
      </w:r>
      <w:r>
        <w:t xml:space="preserve"> </w:t>
      </w:r>
      <w:r>
        <w:t xml:space="preserve">rather than rapid-fire transactions. This could indicate early-stage detection.</w:t>
      </w:r>
    </w:p>
    <w:p>
      <w:pPr>
        <w:pStyle w:val="a0"/>
      </w:pPr>
      <w:r>
        <w:rPr>
          <w:b/>
          <w:bCs/>
        </w:rPr>
        <w:t xml:space="preserve">4. Customer Overlap:</w:t>
      </w:r>
      <w:r>
        <w:t xml:space="preserve"> </w:t>
      </w:r>
      <w:r>
        <w:t xml:space="preserve">Jennifer Vega, Robert James, and Nathan Byrd appear in both</w:t>
      </w:r>
      <w:r>
        <w:t xml:space="preserve"> </w:t>
      </w:r>
      <w:r>
        <w:t xml:space="preserve">velocity fraud and top spender lists, suggesting these high-value customers are also</w:t>
      </w:r>
      <w:r>
        <w:t xml:space="preserve"> </w:t>
      </w:r>
      <w:r>
        <w:t xml:space="preserve">high-risk targets.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section-6-top-spenders-analysis"/>
    <w:p>
      <w:pPr>
        <w:pStyle w:val="2"/>
      </w:pPr>
      <w:r>
        <w:t xml:space="preserve">SECTION 6: TOP SPENDERS ANALYSIS</w:t>
      </w:r>
    </w:p>
    <w:bookmarkStart w:id="43" w:name="dataset-overview-5"/>
    <w:p>
      <w:pPr>
        <w:pStyle w:val="3"/>
      </w:pPr>
      <w:r>
        <w:t xml:space="preserve">Dataset Overview</w:t>
      </w:r>
    </w:p>
    <w:p>
      <w:pPr>
        <w:pStyle w:val="FirstParagraph"/>
      </w:pPr>
      <w:r>
        <w:t xml:space="preserve">Top10Spenders.csv contains</w:t>
      </w:r>
      <w:r>
        <w:t xml:space="preserve"> </w:t>
      </w:r>
      <w:r>
        <w:rPr>
          <w:b/>
          <w:bCs/>
        </w:rPr>
        <w:t xml:space="preserve">55 high-value customers</w:t>
      </w:r>
      <w:r>
        <w:t xml:space="preserve"> </w:t>
      </w:r>
      <w:r>
        <w:t xml:space="preserve">with cities and spend amounts.</w:t>
      </w:r>
    </w:p>
    <w:bookmarkEnd w:id="43"/>
    <w:bookmarkStart w:id="44" w:name="key-metrics-5"/>
    <w:p>
      <w:pPr>
        <w:pStyle w:val="3"/>
      </w:pPr>
      <w:r>
        <w:t xml:space="preserve">Key Metrics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Tracked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$43,040.25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$782.55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$580.97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$340.95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$4,221.72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 Cities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(all distinct)</w:t>
            </w:r>
          </w:p>
        </w:tc>
      </w:tr>
    </w:tbl>
    <w:bookmarkEnd w:id="44"/>
    <w:bookmarkStart w:id="45" w:name="top-10-spenders"/>
    <w:p>
      <w:pPr>
        <w:pStyle w:val="3"/>
      </w:pPr>
      <w:r>
        <w:t xml:space="preserve">Top 10 Spenders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Benjamin Harris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$4,221.72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Ashley Cruz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Saint Amant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$3,208.68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Lisa Mendez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Lahoma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$2,491.70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Matthew Lambert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Holstein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$1,993.99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Bianca Scott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Atglen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$1,305.09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Paula Estrada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$1,113.99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Nathan Byrd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Cliff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$1,105.50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Kimberly 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$1,074.79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Robert James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Tamaroa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$1,034.13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Jessica 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Phoenix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$1,014.47</w:t>
            </w:r>
          </w:p>
        </w:tc>
      </w:tr>
    </w:tbl>
    <w:bookmarkEnd w:id="45"/>
    <w:bookmarkStart w:id="46" w:name="analysis-insights-5"/>
    <w:p>
      <w:pPr>
        <w:pStyle w:val="3"/>
      </w:pPr>
      <w:r>
        <w:t xml:space="preserve">Analysis Insights</w:t>
      </w:r>
    </w:p>
    <w:p>
      <w:pPr>
        <w:pStyle w:val="FirstParagraph"/>
      </w:pPr>
      <w:r>
        <w:rPr>
          <w:b/>
          <w:bCs/>
        </w:rPr>
        <w:t xml:space="preserve">1. Extreme Concentration:</w:t>
      </w:r>
      <w:r>
        <w:t xml:space="preserve"> </w:t>
      </w:r>
      <w:r>
        <w:t xml:space="preserve">The top 3 customers (Benjamin Harris, Ashley Cruz, Lisa Mendez)</w:t>
      </w:r>
      <w:r>
        <w:t xml:space="preserve"> </w:t>
      </w:r>
      <w:r>
        <w:t xml:space="preserve">account for</w:t>
      </w:r>
      <w:r>
        <w:t xml:space="preserve"> </w:t>
      </w:r>
      <w:r>
        <w:rPr>
          <w:b/>
          <w:bCs/>
        </w:rPr>
        <w:t xml:space="preserve">$9,922.10</w:t>
      </w:r>
      <w:r>
        <w:t xml:space="preserve"> </w:t>
      </w:r>
      <w:r>
        <w:t xml:space="preserve">— nearly 23% of total top-spender revenue. This heavy concentration</w:t>
      </w:r>
      <w:r>
        <w:t xml:space="preserve"> </w:t>
      </w:r>
      <w:r>
        <w:t xml:space="preserve">creates significant revenue risk if any of these customers churn or become fraud victims.</w:t>
      </w:r>
    </w:p>
    <w:p>
      <w:pPr>
        <w:pStyle w:val="a0"/>
      </w:pPr>
      <w:r>
        <w:rPr>
          <w:b/>
          <w:bCs/>
        </w:rPr>
        <w:t xml:space="preserve">2. Geographic Dispersion:</w:t>
      </w:r>
      <w:r>
        <w:t xml:space="preserve"> </w:t>
      </w:r>
      <w:r>
        <w:t xml:space="preserve">All 55 customers are from unique cities, indicating a</w:t>
      </w:r>
      <w:r>
        <w:t xml:space="preserve"> </w:t>
      </w:r>
      <w:r>
        <w:t xml:space="preserve">broad geographic spread with no single market dominance. This suggests a national or</w:t>
      </w:r>
      <w:r>
        <w:t xml:space="preserve"> </w:t>
      </w:r>
      <w:r>
        <w:t xml:space="preserve">multi-regional customer base.</w:t>
      </w:r>
    </w:p>
    <w:p>
      <w:pPr>
        <w:pStyle w:val="a0"/>
      </w:pPr>
      <w:r>
        <w:rPr>
          <w:b/>
          <w:bCs/>
        </w:rPr>
        <w:t xml:space="preserve">3. Spend Distribution:</w:t>
      </w:r>
      <w:r>
        <w:t xml:space="preserve"> </w:t>
      </w:r>
      <w:r>
        <w:t xml:space="preserve">The histogram shows most customers cluster between $500-$1,000,</w:t>
      </w:r>
      <w:r>
        <w:t xml:space="preserve"> </w:t>
      </w:r>
      <w:r>
        <w:t xml:space="preserve">with a sharp drop-off above $2,000. Only 4 customers exceed $2,000, making them exceptionally</w:t>
      </w:r>
      <w:r>
        <w:t xml:space="preserve"> </w:t>
      </w:r>
      <w:r>
        <w:t xml:space="preserve">valuable and warranting VIP treatment.</w:t>
      </w:r>
    </w:p>
    <w:p>
      <w:pPr>
        <w:pStyle w:val="a0"/>
      </w:pPr>
      <w:r>
        <w:rPr>
          <w:b/>
          <w:bCs/>
        </w:rPr>
        <w:t xml:space="preserve">4. Cumulative Curve:</w:t>
      </w:r>
      <w:r>
        <w:t xml:space="preserve"> </w:t>
      </w:r>
      <w:r>
        <w:t xml:space="preserve">The top 10 customers generate approximately $18,564 (43% of total</w:t>
      </w:r>
      <w:r>
        <w:t xml:space="preserve"> </w:t>
      </w:r>
      <w:r>
        <w:t xml:space="preserve">top-spender revenue). This Pareto distribution confirms that a small percentage of customers</w:t>
      </w:r>
      <w:r>
        <w:t xml:space="preserve"> </w:t>
      </w:r>
      <w:r>
        <w:t xml:space="preserve">drive the majority of value.</w:t>
      </w:r>
    </w:p>
    <w:p>
      <w:pPr>
        <w:pStyle w:val="a0"/>
      </w:pPr>
      <w:r>
        <w:rPr>
          <w:b/>
          <w:bCs/>
        </w:rPr>
        <w:t xml:space="preserve">5. Cross-Dataset Overlap:</w:t>
      </w:r>
      <w:r>
        <w:t xml:space="preserve"> </w:t>
      </w:r>
      <w:r>
        <w:t xml:space="preserve">Several top spenders also appear in fraud datasets</w:t>
      </w:r>
      <w:r>
        <w:t xml:space="preserve"> </w:t>
      </w:r>
      <w:r>
        <w:t xml:space="preserve">(Benjamin Harris, Ashley Cruz, Lisa Mendez in segmentation; Nathan Byrd, Paula Estrada,</w:t>
      </w:r>
      <w:r>
        <w:t xml:space="preserve"> </w:t>
      </w:r>
      <w:r>
        <w:t xml:space="preserve">Robert James, Jennifer Vega in velocity frauds). This overlap between high-value and</w:t>
      </w:r>
      <w:r>
        <w:t xml:space="preserve"> </w:t>
      </w:r>
      <w:r>
        <w:t xml:space="preserve">high-risk customers is critical for targeted protection.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cross-dataset-insights-recommendations"/>
    <w:p>
      <w:pPr>
        <w:pStyle w:val="2"/>
      </w:pPr>
      <w:r>
        <w:t xml:space="preserve">CROSS-DATASET INSIGHTS &amp; RECOMMENDATIONS</w:t>
      </w:r>
    </w:p>
    <w:bookmarkStart w:id="48" w:name="critical-risk-intersections"/>
    <w:p>
      <w:pPr>
        <w:pStyle w:val="3"/>
      </w:pPr>
      <w:r>
        <w:t xml:space="preserve">Critical Risk Intersections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High-Value + High-Risk:</w:t>
      </w:r>
      <w:r>
        <w:t xml:space="preserve"> </w:t>
      </w:r>
      <w:r>
        <w:t xml:space="preserve">4 customers appear in both top spender and fraud datasets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100% Inactive Rate:</w:t>
      </w:r>
      <w:r>
        <w:t xml:space="preserve"> </w:t>
      </w:r>
      <w:r>
        <w:t xml:space="preserve">Complete customer churn suggests systemic issues beyond fraud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Morning Peak + Grocery POS:</w:t>
      </w:r>
      <w:r>
        <w:t xml:space="preserve"> </w:t>
      </w:r>
      <w:r>
        <w:t xml:space="preserve">The 11 AM peak aligns with Grocery POS peak activity</w:t>
      </w:r>
    </w:p>
    <w:bookmarkEnd w:id="48"/>
    <w:bookmarkStart w:id="49" w:name="strategic-recommendations"/>
    <w:p>
      <w:pPr>
        <w:pStyle w:val="3"/>
      </w:pPr>
      <w:r>
        <w:t xml:space="preserve">Strategic Recommendations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Immediate:</w:t>
      </w:r>
      <w:r>
        <w:t xml:space="preserve"> </w:t>
      </w:r>
      <w:r>
        <w:t xml:space="preserve">Investigate 100% customer inactivation — this is not normal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Fraud Prevention:</w:t>
      </w:r>
      <w:r>
        <w:t xml:space="preserve"> </w:t>
      </w:r>
      <w:r>
        <w:t xml:space="preserve">Deploy enhanced monitoring for Grocery POS between 10 AM - 12 PM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Customer Retention:</w:t>
      </w:r>
      <w:r>
        <w:t xml:space="preserve"> </w:t>
      </w:r>
      <w:r>
        <w:t xml:space="preserve">Target the 10 medium-value customers for retention programs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Night Monitoring:</w:t>
      </w:r>
      <w:r>
        <w:t xml:space="preserve"> </w:t>
      </w:r>
      <w:r>
        <w:t xml:space="preserve">Increase automated monitoring for 0-5 AM period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VIP Protection:</w:t>
      </w:r>
      <w:r>
        <w:t xml:space="preserve"> </w:t>
      </w:r>
      <w:r>
        <w:t xml:space="preserve">Implement dedicated fraud protection for top 10 spenders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 generated from analysis of 6 CSV files containing 1,655+ records</w:t>
      </w:r>
      <w:r>
        <w:t xml:space="preserve"> </w:t>
      </w:r>
      <w:r>
        <w:rPr>
          <w:i/>
          <w:iCs/>
        </w:rPr>
        <w:t xml:space="preserve">Analysis Date: May 2026</w:t>
      </w:r>
    </w:p>
    <w:bookmarkEnd w:id="49"/>
    <w:bookmarkEnd w:id="50"/>
    <w:bookmarkEnd w:id="51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2026-05-13T10:49:46Z</dcterms:created>
  <dcterms:modified xsi:type="dcterms:W3CDTF">2026-05-13T10:49:46Z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a8etqm52tckvf30kh0-19e20d3e-b1c2-83ba-8000-09e51146ca58-20260513104946","ReservedCode1":"","ContentPropagator":"001191110108MACG2KBH8F20000","PropagateID":"d6a8etqm52tckvf30kh0-19e20d3e-b1c2-83ba-8000-09e51146ca58-20260513104946","ReservedCode2":""}</vt:lpwstr>
  </property>
</Properties>
</file>