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01D34F68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2026-02-23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operational abnormality was observed</w:t>
        <w:br/>
        <w:t>during the Morning shift.</w:t>
        <w:br/>
        <w:br/>
        <w:t>Observation: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Severity:</w:t>
        <w:br/>
        <w:br/>
        <w:t>Low</w:t>
        <w:br/>
        <w:br/>
        <w:t>Priority:</w:t>
        <w:br/>
        <w:br/>
        <w:t>Low</w:t>
        <w:br/>
        <w:br/>
        <w:t>Root Cause:</w:t>
        <w:br/>
        <w:br/>
        <w:t>Routine schedule</w:t>
        <w:br/>
      </w:r>
    </w:p>
    <w:p>
      <w:pPr>
        <w:pStyle w:val="Heading1"/>
      </w:pPr>
      <w:r>
        <w:t>Immediate Action Taken</w:t>
      </w:r>
    </w:p>
    <w:p>
      <w:r>
        <w:br/>
        <w:t>Maintenance team secured the equipment</w:t>
        <w:br/>
        <w:t>and carried out the following action: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LOTO procedure was followed throughout maintenance.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