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2434AE3F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2026-04-12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Night shift.</w:t>
        <w:br/>
        <w:br/>
        <w:t>Observation:</w:t>
        <w:br/>
        <w:br/>
        <w:t>Routine PM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Medium</w:t>
        <w:br/>
        <w:br/>
        <w:t>Priority:</w:t>
        <w:br/>
        <w:br/>
        <w:t>Medium</w:t>
        <w:br/>
        <w:br/>
        <w:t>Root Cause:</w:t>
        <w:br/>
        <w:br/>
        <w:t>Routine schedule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Serviced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LOTO procedure was followed throughout maintenance.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WO_EVT-033.docx</w:t>
      </w:r>
    </w:p>
    <w:p>
      <w:pPr>
        <w:pStyle w:val="ListBullet"/>
      </w:pPr>
      <w:r>
        <w:t>MNT_EVT-033.docx</w:t>
      </w:r>
    </w:p>
    <w:p>
      <w:pPr>
        <w:pStyle w:val="ListBullet"/>
      </w:pPr>
      <w:r>
        <w:t>INS_EVT-033.docx</w:t>
      </w:r>
    </w:p>
    <w:p>
      <w:pPr>
        <w:pStyle w:val="ListBullet"/>
      </w:pPr>
      <w:r>
        <w:t>EMAIL_EVT-033.txt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