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22C0C062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RCA_-030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Evening shift.</w:t>
        <w:br/>
        <w:br/>
        <w:t>Description:</w:t>
        <w:br/>
        <w:br/>
        <w:t>Minor spill</w:t>
        <w:br/>
      </w:r>
    </w:p>
    <w:p>
      <w:pPr>
        <w:pStyle w:val="Heading1"/>
      </w:pPr>
      <w:r>
        <w:t>Root Cause Analysis</w:t>
      </w:r>
    </w:p>
    <w:p>
      <w:r>
        <w:br/>
        <w:t>Primary cause identified:</w:t>
        <w:br/>
        <w:br/>
        <w:t>Loose flange</w:t>
        <w:br/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Flange tightened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WO_EVT-030.docx</w:t>
      </w:r>
    </w:p>
    <w:p>
      <w:pPr>
        <w:pStyle w:val="ListBullet"/>
      </w:pPr>
      <w:r>
        <w:t>MNT_EVT-030.docx</w:t>
      </w:r>
    </w:p>
    <w:p>
      <w:pPr>
        <w:pStyle w:val="ListBullet"/>
      </w:pPr>
      <w:r>
        <w:t>INS_EVT-030.docx</w:t>
      </w:r>
    </w:p>
    <w:p>
      <w:pPr>
        <w:pStyle w:val="ListBullet"/>
      </w:pPr>
      <w:r>
        <w:t>EMAIL_EVT-030.txt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