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Root Cause Analysis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F37BF4EB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RCA_EVT-036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RCA_EVT-036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21-Apr-2026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RCA_-036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EVT-036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Air Compressor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Equipment Air Compressor experienced the</w:t>
        <w:br/>
        <w:t>following issue:</w:t>
        <w:br/>
        <w:br/>
        <w:t>Parameter deviation</w:t>
        <w:br/>
      </w:r>
    </w:p>
    <w:p>
      <w:pPr>
        <w:pStyle w:val="Heading1"/>
      </w:pPr>
      <w:r>
        <w:t>Root Cause Analysis</w:t>
      </w:r>
    </w:p>
    <w:p>
      <w:r>
        <w:br/>
        <w:t>Investigation identified the probable root cause:</w:t>
        <w:br/>
        <w:br/>
        <w:t>Calibration drift</w:t>
        <w:br/>
      </w:r>
    </w:p>
    <w:p>
      <w:pPr>
        <w:pStyle w:val="Heading1"/>
      </w:pPr>
      <w:r>
        <w:t>Corrective Action</w:t>
      </w:r>
    </w:p>
    <w:p>
      <w:r>
        <w:br/>
        <w:t>Corrective action implemented:</w:t>
        <w:br/>
        <w:br/>
        <w:t>Recalibrated</w:t>
        <w:br/>
      </w:r>
    </w:p>
    <w:p>
      <w:pPr>
        <w:pStyle w:val="Heading1"/>
      </w:pPr>
      <w:r>
        <w:t>Preventive Action</w:t>
      </w:r>
    </w:p>
    <w:p>
      <w:r>
        <w:t>Increase inspection frequency and monitor equipment performance.</w:t>
      </w:r>
    </w:p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EVT-021</w:t>
            </w:r>
          </w:p>
        </w:tc>
        <w:tc>
          <w:tcPr>
            <w:tcW w:type="dxa" w:w="2628"/>
          </w:tcPr>
          <w:p>
            <w:r>
              <w:t>2026-03-07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EVT-036</w:t>
            </w:r>
          </w:p>
        </w:tc>
        <w:tc>
          <w:tcPr>
            <w:tcW w:type="dxa" w:w="2628"/>
          </w:tcPr>
          <w:p>
            <w:r>
              <w:t>2026-04-21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EMAIL_EVT-036.txt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