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7F5775BA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Parameter deviation</w:t>
        <w:br/>
      </w:r>
    </w:p>
    <w:p>
      <w:pPr>
        <w:pStyle w:val="Heading1"/>
      </w:pPr>
      <w:r>
        <w:t>Root Cause Analysis</w:t>
      </w:r>
    </w:p>
    <w:p>
      <w:r>
        <w:br/>
        <w:t>Primary cause identified:</w:t>
        <w:br/>
        <w:br/>
        <w:t>Calibration drift</w:t>
        <w:br/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Recalibrated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EVT-037</w:t>
            </w:r>
          </w:p>
        </w:tc>
        <w:tc>
          <w:tcPr>
            <w:tcW w:type="dxa" w:w="2628"/>
          </w:tcPr>
          <w:p>
            <w:r>
              <w:t>2026-04-24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EVT-052</w:t>
            </w:r>
          </w:p>
        </w:tc>
        <w:tc>
          <w:tcPr>
            <w:tcW w:type="dxa" w:w="2628"/>
          </w:tcPr>
          <w:p>
            <w:r>
              <w:t>2026-06-08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EMAIL_EVT-052.txt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