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A6A9343D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QA_-049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Heat Exchanger</w:t>
        <w:br/>
        <w:br/>
        <w:t>Observation:</w:t>
        <w:br/>
        <w:br/>
        <w:t>Routine PM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High</w:t>
        <w:br/>
        <w:br/>
        <w:t>Status:</w:t>
        <w:br/>
        <w:br/>
        <w:t>Closed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Instrumentation</w:t>
        <w:br/>
        <w:br/>
        <w:t>Root Cause:</w:t>
        <w:br/>
        <w:br/>
        <w:t>Routine schedule</w:t>
        <w:br/>
      </w:r>
    </w:p>
    <w:p>
      <w:pPr>
        <w:pStyle w:val="Heading1"/>
      </w:pPr>
      <w:r>
        <w:t>Root Cause Analysis</w:t>
      </w:r>
    </w:p>
    <w:p>
      <w:r>
        <w:t>Routine schedule</w:t>
      </w:r>
    </w:p>
    <w:p>
      <w:pPr>
        <w:pStyle w:val="Heading1"/>
      </w:pPr>
      <w:r>
        <w:t>Corrective Action</w:t>
      </w:r>
    </w:p>
    <w:p>
      <w:r>
        <w:t>Serviced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Routine schedule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Serviced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 Used</w:t>
      </w:r>
    </w:p>
    <w:p>
      <w:r>
        <w:t>Laser Alignment Kit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EVT-049</w:t>
            </w:r>
          </w:p>
        </w:tc>
        <w:tc>
          <w:tcPr>
            <w:tcW w:type="dxa" w:w="2628"/>
          </w:tcPr>
          <w:p>
            <w:r>
              <w:t>2026-05-30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WO_EVT-049.docx</w:t>
      </w:r>
    </w:p>
    <w:p>
      <w:pPr>
        <w:pStyle w:val="ListBullet"/>
      </w:pPr>
      <w:r>
        <w:t>MNT_EVT-049.docx</w:t>
      </w:r>
    </w:p>
    <w:p>
      <w:pPr>
        <w:pStyle w:val="ListBullet"/>
      </w:pPr>
      <w:r>
        <w:t>INS_EVT-049.docx</w:t>
      </w:r>
    </w:p>
    <w:p>
      <w:pPr>
        <w:pStyle w:val="ListBullet"/>
      </w:pPr>
      <w:r>
        <w:t>EMAIL_EVT-049.txt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