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AE13334B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SAF_EVT-006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SAF_EVT-006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SAF_-006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Chemical Reactor</w:t>
        <w:br/>
        <w:br/>
        <w:t>Observation:</w:t>
        <w:br/>
        <w:br/>
        <w:t>Temperature deviation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Process</w:t>
        <w:br/>
        <w:br/>
        <w:t>Severity:</w:t>
        <w:br/>
        <w:br/>
        <w:t>Low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Low</w:t>
        <w:br/>
        <w:br/>
        <w:t>Asset Criticality:</w:t>
        <w:br/>
        <w:br/>
        <w:t>Critical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Controller adjusted</w:t>
        <w:br/>
      </w:r>
    </w:p>
    <w:p>
      <w:pPr>
        <w:pStyle w:val="Heading1"/>
      </w:pPr>
      <w:r>
        <w:t>Root Cause Analysis</w:t>
      </w:r>
    </w:p>
    <w:p>
      <w:r>
        <w:t>Control tuning</w:t>
      </w:r>
    </w:p>
    <w:p>
      <w:pPr>
        <w:pStyle w:val="Heading1"/>
      </w:pPr>
      <w:r>
        <w:t>Corrective Action</w:t>
      </w:r>
    </w:p>
    <w:p>
      <w:r>
        <w:t>Controller adjusted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Preventive maintenance interval should be reduced.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☐ Alignment Verified — Pending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EMAIL_EVT-006.txt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