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44BF29E3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SAF_EVT-012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SAF_EVT-012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SAF_-012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Night shift.</w:t>
        <w:br/>
        <w:br/>
        <w:br/>
        <w:t>Incident Details:</w:t>
        <w:br/>
        <w:br/>
        <w:t>Boiler inspection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Follow-up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High</w:t>
        <w:br/>
        <w:br/>
        <w:br/>
        <w:t>Severity:</w:t>
        <w:br/>
        <w:br/>
        <w:t>Low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Passed</w:t>
        <w:br/>
      </w:r>
    </w:p>
    <w:p>
      <w:pPr>
        <w:pStyle w:val="Heading1"/>
      </w:pPr>
      <w:r>
        <w:t>Root Cause Analysis</w:t>
      </w:r>
    </w:p>
    <w:p>
      <w:r>
        <w:t>Follow-up</w:t>
      </w:r>
    </w:p>
    <w:p>
      <w:pPr>
        <w:pStyle w:val="Heading1"/>
      </w:pPr>
      <w:r>
        <w:t>Corrective Action</w:t>
      </w:r>
    </w:p>
    <w:p>
      <w:r>
        <w:t>Passed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Operator advised to monitor pressure readings for 48 hours.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INS_EVT-012.docx</w:t>
      </w:r>
    </w:p>
    <w:p>
      <w:pPr>
        <w:pStyle w:val="ListBullet"/>
      </w:pPr>
      <w:r>
        <w:t>EMAIL_EVT-012.txt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