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71BF44D3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SAF_EVT-020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SAF_EVT-020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04-Mar-2026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SAF_-020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Steam Boiler</w:t>
        <w:br/>
        <w:br/>
        <w:t>Observation:</w:t>
        <w:br/>
        <w:br/>
        <w:t>Parameter deviation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High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High</w:t>
        <w:br/>
        <w:br/>
        <w:t>Asset Criticality:</w:t>
        <w:br/>
        <w:br/>
        <w:t>Critical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Recalibrated</w:t>
        <w:br/>
      </w:r>
    </w:p>
    <w:p>
      <w:pPr>
        <w:pStyle w:val="Heading1"/>
      </w:pPr>
      <w:r>
        <w:t>Root Cause Analysis</w:t>
      </w:r>
    </w:p>
    <w:p>
      <w:r>
        <w:t>Calibration drift</w:t>
      </w:r>
    </w:p>
    <w:p>
      <w:pPr>
        <w:pStyle w:val="Heading1"/>
      </w:pPr>
      <w:r>
        <w:t>Corrective Action</w:t>
      </w:r>
    </w:p>
    <w:p>
      <w:r>
        <w:t>Recalibrated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Further monitoring is recommended before closing the case.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EMAIL_EVT-020.txt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