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5081B37B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SAF_EVT-022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SAF_EVT-022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10-Mar-2026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SAF_-022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Morning shift.</w:t>
        <w:br/>
        <w:br/>
        <w:br/>
        <w:t>Incident Details:</w:t>
        <w:br/>
        <w:br/>
        <w:t>Minor spill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Instrumentation</w:t>
        <w:br/>
        <w:br/>
        <w:br/>
        <w:t>Root Cause:</w:t>
        <w:br/>
        <w:br/>
        <w:t>Loose flange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Low</w:t>
        <w:br/>
        <w:br/>
        <w:br/>
        <w:t>Severity:</w:t>
        <w:br/>
        <w:br/>
        <w:t>High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Flange tightened</w:t>
        <w:br/>
      </w:r>
    </w:p>
    <w:p>
      <w:pPr>
        <w:pStyle w:val="Heading1"/>
      </w:pPr>
      <w:r>
        <w:t>Root Cause Analysis</w:t>
      </w:r>
    </w:p>
    <w:p>
      <w:r>
        <w:t>Loose flange</w:t>
      </w:r>
    </w:p>
    <w:p>
      <w:pPr>
        <w:pStyle w:val="Heading1"/>
      </w:pPr>
      <w:r>
        <w:t>Corrective Action</w:t>
      </w:r>
    </w:p>
    <w:p>
      <w:r>
        <w:t>Flange tightened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Operator advised to monitor pressure readings for 48 hours.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WO_EVT-022.docx</w:t>
      </w:r>
    </w:p>
    <w:p>
      <w:pPr>
        <w:pStyle w:val="ListBullet"/>
      </w:pPr>
      <w:r>
        <w:t>MNT_EVT-022.docx</w:t>
      </w:r>
    </w:p>
    <w:p>
      <w:pPr>
        <w:pStyle w:val="ListBullet"/>
      </w:pPr>
      <w:r>
        <w:t>INS_EVT-022.docx</w:t>
      </w:r>
    </w:p>
    <w:p>
      <w:pPr>
        <w:pStyle w:val="ListBullet"/>
      </w:pPr>
      <w:r>
        <w:t>EMAIL_EVT-022.txt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