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0"/>
          <w:szCs w:val="30"/>
        </w:rPr>
        <w:t xml:space="preserve">IMDB Review Rating Prediction — BiLSTM with Attention</w:t>
      </w:r>
    </w:p>
    <w:p>
      <w:pPr>
        <w:spacing w:after="160"/>
        <w:jc w:val="center"/>
      </w:pPr>
      <w:r>
        <w:rPr>
          <w:i/>
          <w:iCs/>
          <w:color w:val="595959"/>
          <w:sz w:val="18"/>
          <w:szCs w:val="18"/>
        </w:rPr>
        <w:t xml:space="preserve">Regression on the Large Movie Review Dataset (IMDB) using pretrained GloVe embeddings</w:t>
      </w:r>
    </w:p>
    <w:p>
      <w:pPr>
        <w:pStyle w:val="Heading2"/>
        <w:spacing w:after="60" w:before="160"/>
      </w:pPr>
      <w:r>
        <w:t xml:space="preserve">Objective</w:t>
      </w:r>
    </w:p>
    <w:p>
      <w:pPr>
        <w:spacing w:after="80"/>
      </w:pPr>
      <w:r>
        <w:rPr>
          <w:sz w:val="19"/>
          <w:szCs w:val="19"/>
        </w:rPr>
        <w:t xml:space="preserve">Predict the exact numeric star rating (1–10) of an IMDB movie review from raw review text, framing the task as regression rather than binary sentiment classification. The model complements the group's other approaches (BERT-based regression and XGBoost) by testing a from-scratch recurrent architecture with attention.</w:t>
      </w:r>
    </w:p>
    <w:p>
      <w:pPr>
        <w:pStyle w:val="Heading2"/>
        <w:spacing w:after="60" w:before="160"/>
      </w:pPr>
      <w:r>
        <w:t xml:space="preserve">Data &amp; Preprocessing</w:t>
      </w:r>
    </w:p>
    <w:p>
      <w:pPr>
        <w:pStyle w:val="ListParagraph"/>
        <w:numPr>
          <w:ilvl w:val="0"/>
          <w:numId w:val="1"/>
        </w:numPr>
        <w:spacing w:after="40"/>
      </w:pPr>
      <w:r>
        <w:rPr>
          <w:sz w:val="19"/>
          <w:szCs w:val="19"/>
        </w:rPr>
        <w:t xml:space="preserve">Dataset: labeled portion of the IMDB Large Movie Review Dataset — 25,000 train / 25,000 test reviews, ratings extracted from source filenames (≥7 = strongly positive, ≤4 = strongly negative).</w:t>
      </w:r>
    </w:p>
    <w:p>
      <w:pPr>
        <w:pStyle w:val="ListParagraph"/>
        <w:numPr>
          <w:ilvl w:val="0"/>
          <w:numId w:val="1"/>
        </w:numPr>
        <w:spacing w:after="40"/>
      </w:pPr>
      <w:r>
        <w:rPr>
          <w:sz w:val="19"/>
          <w:szCs w:val="19"/>
        </w:rPr>
        <w:t xml:space="preserve">Cleaning: stripped HTML tags (e.g. &lt;br /&gt;), removed non-alphabetic characters, lowercased text.</w:t>
      </w:r>
    </w:p>
    <w:p>
      <w:pPr>
        <w:pStyle w:val="ListParagraph"/>
        <w:numPr>
          <w:ilvl w:val="0"/>
          <w:numId w:val="1"/>
        </w:numPr>
        <w:spacing w:after="40"/>
      </w:pPr>
      <w:r>
        <w:rPr>
          <w:sz w:val="19"/>
          <w:szCs w:val="19"/>
        </w:rPr>
        <w:t xml:space="preserve">Tokenization: whitespace split; vocabulary capped at 20,000 most frequent words; sequences padded/truncated to 200 tokens.</w:t>
      </w:r>
    </w:p>
    <w:p>
      <w:pPr>
        <w:pStyle w:val="ListParagraph"/>
        <w:numPr>
          <w:ilvl w:val="0"/>
          <w:numId w:val="1"/>
        </w:numPr>
        <w:spacing w:after="40"/>
      </w:pPr>
      <w:r>
        <w:rPr>
          <w:sz w:val="19"/>
          <w:szCs w:val="19"/>
        </w:rPr>
        <w:t xml:space="preserve">Embeddings: 100-dimensional pretrained GloVe vectors, initialized into an embedding layer and fine-tuned during training. Coverage: 19,234 / 20,000 vocabulary words (96.2%) matched.</w:t>
      </w:r>
    </w:p>
    <w:p>
      <w:pPr>
        <w:pStyle w:val="Heading2"/>
        <w:spacing w:after="60" w:before="160"/>
      </w:pPr>
      <w:r>
        <w:t xml:space="preserve">Model Architecture</w:t>
      </w:r>
    </w:p>
    <w:p>
      <w:pPr>
        <w:spacing w:after="80"/>
      </w:pPr>
      <w:r>
        <w:rPr>
          <w:sz w:val="19"/>
          <w:szCs w:val="19"/>
        </w:rPr>
        <w:t xml:space="preserve">A Bidirectional LSTM (hidden size 128, 256-dim combined output) with a learned attention layer over the LSTM's hidden states, followed by a dense regression head (256 → 64 → 1) trained with MSE loss and the Adam optimizer. Early stopping (patience = 2 epochs) restored the checkpoint with the lowest validation loss, which occurred at epoch 3 — training was halted at epoch 5 as validation loss began rising, indicating overfitting beyond that point.</w:t>
      </w:r>
    </w:p>
    <w:p>
      <w:pPr>
        <w:pStyle w:val="Heading2"/>
        <w:spacing w:after="60" w:before="160"/>
      </w:pPr>
      <w:r>
        <w:t xml:space="preserve">Results on Held-Out Test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F2F2F2" w:val="clear"/>
            <w:tcMar>
              <w:top w:type="dxa" w:w="80"/>
              <w:left w:type="dxa" w:w="100"/>
              <w:bottom w:type="dxa" w:w="80"/>
              <w:right w:type="dxa" w:w="100"/>
            </w:tcMar>
          </w:tcPr>
          <w:p>
            <w:pPr>
              <w:jc w:val="center"/>
            </w:pPr>
            <w:r>
              <w:rPr>
                <w:b/>
                <w:bCs/>
                <w:sz w:val="16"/>
                <w:szCs w:val="16"/>
              </w:rPr>
              <w:t xml:space="preserve">Test MSE</w:t>
            </w:r>
          </w:p>
          <w:p>
            <w:pPr>
              <w:jc w:val="center"/>
            </w:pPr>
            <w:r>
              <w:rPr>
                <w:b/>
                <w:bCs/>
                <w:color w:val="1F4E79"/>
                <w:sz w:val="26"/>
                <w:szCs w:val="26"/>
              </w:rPr>
              <w:t xml:space="preserve">4.80</w:t>
            </w:r>
          </w:p>
        </w:tc>
        <w:tc>
          <w:tcPr>
            <w:tcW w:type="pct" w:w="33%"/>
            <w:shd w:fill="F2F2F2" w:val="clear"/>
            <w:tcMar>
              <w:top w:type="dxa" w:w="80"/>
              <w:left w:type="dxa" w:w="100"/>
              <w:bottom w:type="dxa" w:w="80"/>
              <w:right w:type="dxa" w:w="100"/>
            </w:tcMar>
          </w:tcPr>
          <w:p>
            <w:pPr>
              <w:jc w:val="center"/>
            </w:pPr>
            <w:r>
              <w:rPr>
                <w:b/>
                <w:bCs/>
                <w:sz w:val="16"/>
                <w:szCs w:val="16"/>
              </w:rPr>
              <w:t xml:space="preserve">Test MAE</w:t>
            </w:r>
          </w:p>
          <w:p>
            <w:pPr>
              <w:jc w:val="center"/>
            </w:pPr>
            <w:r>
              <w:rPr>
                <w:b/>
                <w:bCs/>
                <w:color w:val="1F4E79"/>
                <w:sz w:val="26"/>
                <w:szCs w:val="26"/>
              </w:rPr>
              <w:t xml:space="preserve">1.55</w:t>
            </w:r>
          </w:p>
        </w:tc>
        <w:tc>
          <w:tcPr>
            <w:tcW w:type="pct" w:w="33%"/>
            <w:shd w:fill="F2F2F2" w:val="clear"/>
            <w:tcMar>
              <w:top w:type="dxa" w:w="80"/>
              <w:left w:type="dxa" w:w="100"/>
              <w:bottom w:type="dxa" w:w="80"/>
              <w:right w:type="dxa" w:w="100"/>
            </w:tcMar>
          </w:tcPr>
          <w:p>
            <w:pPr>
              <w:jc w:val="center"/>
            </w:pPr>
            <w:r>
              <w:rPr>
                <w:b/>
                <w:bCs/>
                <w:sz w:val="16"/>
                <w:szCs w:val="16"/>
              </w:rPr>
              <w:t xml:space="preserve">Test R²</w:t>
            </w:r>
          </w:p>
          <w:p>
            <w:pPr>
              <w:jc w:val="center"/>
            </w:pPr>
            <w:r>
              <w:rPr>
                <w:b/>
                <w:bCs/>
                <w:color w:val="1F4E79"/>
                <w:sz w:val="26"/>
                <w:szCs w:val="26"/>
              </w:rPr>
              <w:t xml:space="preserve">0.61</w:t>
            </w:r>
          </w:p>
        </w:tc>
      </w:tr>
    </w:tbl>
    <w:p>
      <w:pPr>
        <w:spacing w:after="120"/>
      </w:pPr>
    </w:p>
    <w:p>
      <w:pPr>
        <w:spacing w:after="80"/>
      </w:pPr>
      <w:r>
        <w:rPr>
          <w:sz w:val="19"/>
          <w:szCs w:val="19"/>
        </w:rPr>
        <w:t xml:space="preserve">An R² of 0.61 indicates the model explains roughly 61% of the variance in true ratings, and an MAE of 1.55 means predictions are, on average, within about 1.5 points on the 1–10 scale. The predicted-vs-actual scatter plot shows correct overall trend (predictions rise with true rating), and the error distribution is centered near zero with most errors small, though with a real tail of large-error cases.</w:t>
      </w:r>
    </w:p>
    <w:p>
      <w:pPr>
        <w:pStyle w:val="Heading2"/>
        <w:spacing w:after="60" w:before="160"/>
      </w:pPr>
      <w:r>
        <w:t xml:space="preserve">Error Analysis — Key Finding: Sarcasm &amp; Irony</w:t>
      </w:r>
    </w:p>
    <w:p>
      <w:pPr>
        <w:spacing w:after="80"/>
      </w:pPr>
      <w:r>
        <w:rPr>
          <w:sz w:val="19"/>
          <w:szCs w:val="19"/>
        </w:rPr>
        <w:t xml:space="preserve">The ten largest errors were examined in detail, and nearly all shared a common pattern: sarcastic or ironic reviews where strongly positive words ("hilarious", "genius", "magnificent", "beautiful") were used to describe a movie the reviewer actually rated 1/10, or where unconventional phrasing masked a high true rating. For example, a review calling a film "the most hilarious movie I've ever seen" and joking it would "put guys like Jim Carrey out of a job" was rated 1/10 by the reviewer but predicted 9.5/10 by the model.</w:t>
      </w:r>
    </w:p>
    <w:p>
      <w:pPr>
        <w:spacing w:after="80"/>
      </w:pPr>
      <w:r>
        <w:rPr>
          <w:sz w:val="19"/>
          <w:szCs w:val="19"/>
        </w:rPr>
        <w:t xml:space="preserve">This is not evidence of poor overall performance — the bulk of predictions are close to the true rating — but a specific, explainable failure mode. GloVe embeddings capture word-level sentiment associations, but have no mechanism to detect tone, irony, or contradiction between literal wording and intended meaning. The attention layer correctly highlights the strongest sentiment-bearing words in a sentence, but cannot reason about why those words might be used sarcastically. This is a well-documented limitation in NLP sentiment tasks, not unique to this architecture.</w:t>
      </w:r>
    </w:p>
    <w:p>
      <w:pPr>
        <w:pStyle w:val="Heading2"/>
        <w:spacing w:after="60" w:before="160"/>
      </w:pPr>
      <w:r>
        <w:t xml:space="preserve">Conclusion &amp; Next Steps</w:t>
      </w:r>
    </w:p>
    <w:p>
      <w:pPr>
        <w:pStyle w:val="ListParagraph"/>
        <w:numPr>
          <w:ilvl w:val="0"/>
          <w:numId w:val="1"/>
        </w:numPr>
        <w:spacing w:after="40"/>
      </w:pPr>
      <w:r>
        <w:rPr>
          <w:sz w:val="19"/>
          <w:szCs w:val="19"/>
        </w:rPr>
        <w:t xml:space="preserve">The BiLSTM + attention model provides a solid, interpretable deep-learning baseline (R² = 0.61) using only pretrained word embeddings, with much lower compute cost than transformer-based approaches.</w:t>
      </w:r>
    </w:p>
    <w:p>
      <w:pPr>
        <w:pStyle w:val="ListParagraph"/>
        <w:numPr>
          <w:ilvl w:val="0"/>
          <w:numId w:val="1"/>
        </w:numPr>
        <w:spacing w:after="40"/>
      </w:pPr>
      <w:r>
        <w:rPr>
          <w:sz w:val="19"/>
          <w:szCs w:val="19"/>
        </w:rPr>
        <w:t xml:space="preserve">Its main limitation is sarcasm/irony detection, a discourse-level phenomenon that word-level embeddings cannot capture.</w:t>
      </w:r>
    </w:p>
    <w:p>
      <w:pPr>
        <w:pStyle w:val="ListParagraph"/>
        <w:numPr>
          <w:ilvl w:val="0"/>
          <w:numId w:val="1"/>
        </w:numPr>
        <w:spacing w:after="40"/>
      </w:pPr>
      <w:r>
        <w:rPr>
          <w:sz w:val="19"/>
          <w:szCs w:val="19"/>
        </w:rPr>
        <w:t xml:space="preserve">Future improvement: contextual transformer embeddings (e.g. BERT) or an auxiliary sarcasm-detection signal could specifically target this failure mode, complementing the group's BERT and XGBoost results for a fuller model comparison.</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2026-09-17T08:19:14.323Z</dcterms:created>
  <dcterms:modified xsi:type="dcterms:W3CDTF">2026-09-17T08:19:14.335Z</dcterms:modified>
</cp:coreProperties>
</file>

<file path=docProps/custom.xml><?xml version="1.0" encoding="utf-8"?>
<Properties xmlns="http://schemas.openxmlformats.org/officeDocument/2006/custom-properties" xmlns:vt="http://schemas.openxmlformats.org/officeDocument/2006/docPropsVTypes"/>
</file>