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E8F62" w14:textId="4E44D6F1" w:rsidR="00357345" w:rsidRDefault="00357345" w:rsidP="00357345">
      <w:pPr>
        <w:pStyle w:val="NormalWeb"/>
        <w:spacing w:before="0" w:beforeAutospacing="0" w:after="0" w:afterAutospacing="0"/>
        <w:textAlignment w:val="baseline"/>
        <w:rPr>
          <w:rFonts w:ascii="Arial" w:hAnsi="Arial" w:cs="Arial"/>
          <w:b/>
          <w:bCs/>
          <w:color w:val="1D1C1D"/>
          <w:sz w:val="30"/>
          <w:szCs w:val="30"/>
          <w:shd w:val="clear" w:color="auto" w:fill="F8F8F8"/>
        </w:rPr>
      </w:pPr>
      <w:r w:rsidRPr="00357345">
        <w:rPr>
          <w:rFonts w:ascii="Arial" w:hAnsi="Arial" w:cs="Arial"/>
          <w:b/>
          <w:bCs/>
          <w:color w:val="1D1C1D"/>
          <w:sz w:val="30"/>
          <w:szCs w:val="30"/>
          <w:shd w:val="clear" w:color="auto" w:fill="F8F8F8"/>
        </w:rPr>
        <w:t xml:space="preserve">Introduction to the </w:t>
      </w:r>
      <w:r>
        <w:rPr>
          <w:rFonts w:ascii="Arial" w:hAnsi="Arial" w:cs="Arial"/>
          <w:b/>
          <w:bCs/>
          <w:color w:val="1D1C1D"/>
          <w:sz w:val="30"/>
          <w:szCs w:val="30"/>
          <w:shd w:val="clear" w:color="auto" w:fill="F8F8F8"/>
        </w:rPr>
        <w:t>S</w:t>
      </w:r>
      <w:r w:rsidRPr="00357345">
        <w:rPr>
          <w:rFonts w:ascii="Arial" w:hAnsi="Arial" w:cs="Arial"/>
          <w:b/>
          <w:bCs/>
          <w:color w:val="1D1C1D"/>
          <w:sz w:val="30"/>
          <w:szCs w:val="30"/>
          <w:shd w:val="clear" w:color="auto" w:fill="F8F8F8"/>
        </w:rPr>
        <w:t xml:space="preserve">ector </w:t>
      </w:r>
      <w:r>
        <w:rPr>
          <w:rFonts w:ascii="Arial" w:hAnsi="Arial" w:cs="Arial"/>
          <w:b/>
          <w:bCs/>
          <w:color w:val="1D1C1D"/>
          <w:sz w:val="30"/>
          <w:szCs w:val="30"/>
          <w:shd w:val="clear" w:color="auto" w:fill="F8F8F8"/>
        </w:rPr>
        <w:t>and its</w:t>
      </w:r>
      <w:r w:rsidRPr="00357345">
        <w:rPr>
          <w:rFonts w:ascii="Arial" w:hAnsi="Arial" w:cs="Arial"/>
          <w:b/>
          <w:bCs/>
          <w:color w:val="1D1C1D"/>
          <w:sz w:val="30"/>
          <w:szCs w:val="30"/>
          <w:shd w:val="clear" w:color="auto" w:fill="F8F8F8"/>
        </w:rPr>
        <w:t xml:space="preserve"> </w:t>
      </w:r>
      <w:r>
        <w:rPr>
          <w:rFonts w:ascii="Arial" w:hAnsi="Arial" w:cs="Arial"/>
          <w:b/>
          <w:bCs/>
          <w:color w:val="1D1C1D"/>
          <w:sz w:val="30"/>
          <w:szCs w:val="30"/>
          <w:shd w:val="clear" w:color="auto" w:fill="F8F8F8"/>
        </w:rPr>
        <w:t>P</w:t>
      </w:r>
      <w:r w:rsidRPr="00357345">
        <w:rPr>
          <w:rFonts w:ascii="Arial" w:hAnsi="Arial" w:cs="Arial"/>
          <w:b/>
          <w:bCs/>
          <w:color w:val="1D1C1D"/>
          <w:sz w:val="30"/>
          <w:szCs w:val="30"/>
          <w:shd w:val="clear" w:color="auto" w:fill="F8F8F8"/>
        </w:rPr>
        <w:t xml:space="preserve">erformance </w:t>
      </w:r>
      <w:r>
        <w:rPr>
          <w:rFonts w:ascii="Arial" w:hAnsi="Arial" w:cs="Arial"/>
          <w:b/>
          <w:bCs/>
          <w:color w:val="1D1C1D"/>
          <w:sz w:val="30"/>
          <w:szCs w:val="30"/>
          <w:shd w:val="clear" w:color="auto" w:fill="F8F8F8"/>
        </w:rPr>
        <w:t>G</w:t>
      </w:r>
      <w:r w:rsidRPr="00357345">
        <w:rPr>
          <w:rFonts w:ascii="Arial" w:hAnsi="Arial" w:cs="Arial"/>
          <w:b/>
          <w:bCs/>
          <w:color w:val="1D1C1D"/>
          <w:sz w:val="30"/>
          <w:szCs w:val="30"/>
          <w:shd w:val="clear" w:color="auto" w:fill="F8F8F8"/>
        </w:rPr>
        <w:t>rowth</w:t>
      </w:r>
    </w:p>
    <w:p w14:paraId="41F6BBE9" w14:textId="77777777" w:rsidR="002F280A" w:rsidRDefault="002F280A" w:rsidP="00357345">
      <w:pPr>
        <w:pStyle w:val="NormalWeb"/>
        <w:spacing w:before="0" w:beforeAutospacing="0" w:after="0" w:afterAutospacing="0"/>
        <w:textAlignment w:val="baseline"/>
        <w:rPr>
          <w:rFonts w:ascii="Arial" w:hAnsi="Arial" w:cs="Arial"/>
          <w:b/>
          <w:bCs/>
          <w:color w:val="1D1C1D"/>
          <w:sz w:val="30"/>
          <w:szCs w:val="30"/>
          <w:shd w:val="clear" w:color="auto" w:fill="F8F8F8"/>
        </w:rPr>
      </w:pPr>
    </w:p>
    <w:p w14:paraId="2539E1E9" w14:textId="5FB4995C" w:rsidR="00605DD4" w:rsidRDefault="005B3108" w:rsidP="00605DD4">
      <w:pPr>
        <w:rPr>
          <w:rFonts w:ascii="Arial" w:hAnsi="Arial" w:cs="Arial"/>
          <w:sz w:val="24"/>
          <w:szCs w:val="24"/>
        </w:rPr>
      </w:pPr>
      <w:r>
        <w:rPr>
          <w:rFonts w:ascii="Arial" w:hAnsi="Arial" w:cs="Arial"/>
          <w:sz w:val="24"/>
          <w:szCs w:val="24"/>
        </w:rPr>
        <w:t>India is occupying a 20% share in global supply by volume and supplies 62% of global demand for vaccines. India is a prominent and rapidly growing presence in global pharmaceuticals. India accounts for around 10% of the world’s production by volume and 1.5% by value. India ranks 10</w:t>
      </w:r>
      <w:r w:rsidRPr="005B3108">
        <w:rPr>
          <w:rFonts w:ascii="Arial" w:hAnsi="Arial" w:cs="Arial"/>
          <w:sz w:val="24"/>
          <w:szCs w:val="24"/>
          <w:vertAlign w:val="superscript"/>
        </w:rPr>
        <w:t>th</w:t>
      </w:r>
      <w:r>
        <w:rPr>
          <w:rFonts w:ascii="Arial" w:hAnsi="Arial" w:cs="Arial"/>
          <w:sz w:val="24"/>
          <w:szCs w:val="24"/>
        </w:rPr>
        <w:t xml:space="preserve"> worldwide for production by value and 3</w:t>
      </w:r>
      <w:r w:rsidRPr="005B3108">
        <w:rPr>
          <w:rFonts w:ascii="Arial" w:hAnsi="Arial" w:cs="Arial"/>
          <w:sz w:val="24"/>
          <w:szCs w:val="24"/>
          <w:vertAlign w:val="superscript"/>
        </w:rPr>
        <w:t>rd</w:t>
      </w:r>
      <w:r>
        <w:rPr>
          <w:rFonts w:ascii="Arial" w:hAnsi="Arial" w:cs="Arial"/>
          <w:sz w:val="24"/>
          <w:szCs w:val="24"/>
        </w:rPr>
        <w:t xml:space="preserve"> by volume. The DOP under its ‘Pharma Vision 2020’ aims to make the country a hub for end-to-end drug discovery.</w:t>
      </w:r>
    </w:p>
    <w:p w14:paraId="193AF22D" w14:textId="5CBD2801" w:rsidR="005B3108" w:rsidRPr="005B3108" w:rsidRDefault="005B3108" w:rsidP="00605DD4">
      <w:pPr>
        <w:rPr>
          <w:rFonts w:ascii="Arial" w:eastAsia="Times New Roman" w:hAnsi="Arial" w:cs="Arial"/>
          <w:color w:val="46494F"/>
          <w:sz w:val="24"/>
          <w:szCs w:val="24"/>
          <w:lang w:eastAsia="en-IN"/>
        </w:rPr>
      </w:pPr>
      <w:r>
        <w:rPr>
          <w:rFonts w:ascii="Arial" w:hAnsi="Arial" w:cs="Arial"/>
          <w:sz w:val="24"/>
          <w:szCs w:val="24"/>
        </w:rPr>
        <w:t xml:space="preserve">India </w:t>
      </w:r>
      <w:r w:rsidRPr="00605DD4">
        <w:rPr>
          <w:rFonts w:ascii="Arial" w:eastAsia="Times New Roman" w:hAnsi="Arial" w:cs="Arial"/>
          <w:color w:val="46494F"/>
          <w:sz w:val="24"/>
          <w:szCs w:val="24"/>
          <w:lang w:eastAsia="en-IN"/>
        </w:rPr>
        <w:t>manufactures more than 500 different Active Pharmaceutical Ingredients (APIs)</w:t>
      </w:r>
      <w:r>
        <w:rPr>
          <w:rFonts w:ascii="Arial" w:eastAsia="Times New Roman" w:hAnsi="Arial" w:cs="Arial"/>
          <w:color w:val="46494F"/>
          <w:sz w:val="24"/>
          <w:szCs w:val="24"/>
          <w:lang w:eastAsia="en-IN"/>
        </w:rPr>
        <w:t xml:space="preserve"> and is the source of 60,000 generic brands across 60 therapeutic categories. The country has a strong network of over 10,500 manufacturing facilities and home to more than 3,000 pharma companies. </w:t>
      </w:r>
      <w:r w:rsidRPr="00605DD4">
        <w:rPr>
          <w:rFonts w:ascii="Arial" w:eastAsia="Times New Roman" w:hAnsi="Arial" w:cs="Arial"/>
          <w:color w:val="46494F"/>
          <w:sz w:val="24"/>
          <w:szCs w:val="24"/>
          <w:lang w:eastAsia="en-IN"/>
        </w:rPr>
        <w:t>The domestic pharmaceutical market turnover</w:t>
      </w:r>
      <w:r>
        <w:rPr>
          <w:rFonts w:ascii="Arial" w:eastAsia="Times New Roman" w:hAnsi="Arial" w:cs="Arial"/>
          <w:color w:val="46494F"/>
          <w:sz w:val="24"/>
          <w:szCs w:val="24"/>
          <w:lang w:eastAsia="en-IN"/>
        </w:rPr>
        <w:t xml:space="preserve"> is up 9.3% from 2018, reaching US$ 20.03 bn in 2019, growing as penetration of health insurance and pharmacies rise</w:t>
      </w:r>
      <w:r w:rsidR="00A14F7E">
        <w:rPr>
          <w:rFonts w:ascii="Arial" w:eastAsia="Times New Roman" w:hAnsi="Arial" w:cs="Arial"/>
          <w:color w:val="46494F"/>
          <w:sz w:val="24"/>
          <w:szCs w:val="24"/>
          <w:lang w:eastAsia="en-IN"/>
        </w:rPr>
        <w:t>s</w:t>
      </w:r>
      <w:r>
        <w:rPr>
          <w:rFonts w:ascii="Arial" w:eastAsia="Times New Roman" w:hAnsi="Arial" w:cs="Arial"/>
          <w:color w:val="46494F"/>
          <w:sz w:val="24"/>
          <w:szCs w:val="24"/>
          <w:lang w:eastAsia="en-IN"/>
        </w:rPr>
        <w:t>.</w:t>
      </w:r>
    </w:p>
    <w:p w14:paraId="26CA7953" w14:textId="2B8A2586" w:rsidR="007C3F92" w:rsidRPr="00AB0109" w:rsidRDefault="00357345" w:rsidP="00AB0109">
      <w:pPr>
        <w:rPr>
          <w:rFonts w:ascii="Arial" w:hAnsi="Arial" w:cs="Arial"/>
          <w:b/>
          <w:bCs/>
          <w:color w:val="1D1C1D"/>
          <w:sz w:val="30"/>
          <w:szCs w:val="30"/>
          <w:shd w:val="clear" w:color="auto" w:fill="F8F8F8"/>
        </w:rPr>
      </w:pPr>
      <w:r w:rsidRPr="00357345">
        <w:rPr>
          <w:rFonts w:ascii="Arial" w:hAnsi="Arial" w:cs="Arial"/>
          <w:b/>
          <w:bCs/>
          <w:color w:val="1D1C1D"/>
          <w:sz w:val="30"/>
          <w:szCs w:val="30"/>
          <w:shd w:val="clear" w:color="auto" w:fill="F8F8F8"/>
        </w:rPr>
        <w:t xml:space="preserve">Introduction about the </w:t>
      </w:r>
      <w:r>
        <w:rPr>
          <w:rFonts w:ascii="Arial" w:hAnsi="Arial" w:cs="Arial"/>
          <w:b/>
          <w:bCs/>
          <w:color w:val="1D1C1D"/>
          <w:sz w:val="30"/>
          <w:szCs w:val="30"/>
          <w:shd w:val="clear" w:color="auto" w:fill="F8F8F8"/>
        </w:rPr>
        <w:t>CIPLA</w:t>
      </w:r>
      <w:r w:rsidRPr="00357345">
        <w:rPr>
          <w:rFonts w:ascii="Arial" w:hAnsi="Arial" w:cs="Arial"/>
          <w:b/>
          <w:bCs/>
          <w:color w:val="1D1C1D"/>
          <w:sz w:val="30"/>
          <w:szCs w:val="30"/>
          <w:shd w:val="clear" w:color="auto" w:fill="F8F8F8"/>
        </w:rPr>
        <w:t xml:space="preserve"> and its performance</w:t>
      </w:r>
      <w:r w:rsidR="00AB0109" w:rsidRPr="00AB0109">
        <w:rPr>
          <w:rFonts w:ascii="Arial" w:eastAsia="Times New Roman" w:hAnsi="Arial" w:cs="Arial"/>
          <w:color w:val="000000" w:themeColor="text1"/>
          <w:sz w:val="24"/>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1A3A88BB" w14:textId="77777777" w:rsidR="00605DD4" w:rsidRPr="00605DD4" w:rsidRDefault="00605DD4" w:rsidP="00605DD4">
      <w:pPr>
        <w:rPr>
          <w:rFonts w:ascii="Arial" w:eastAsia="Times New Roman" w:hAnsi="Arial" w:cs="Arial"/>
          <w:color w:val="000000" w:themeColor="text1"/>
          <w:sz w:val="24"/>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5DD4">
        <w:rPr>
          <w:rFonts w:ascii="Arial" w:eastAsia="Times New Roman" w:hAnsi="Arial" w:cs="Arial"/>
          <w:color w:val="000000" w:themeColor="text1"/>
          <w:sz w:val="24"/>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Cipla Limited is an Indian multinational that primarily develops medicines to treat arthritis, diabetes, respiratory, cardiovascular disease, and other medical conditions. Cipla limited is a pharmaceutical and biotechnology company headquartered in Mumbai, India. As of 2018, it was India's 42nd largest publicly traded company by market value. Its market capitalization is Rs. 530 billion (equivalently US$7.5 billion).</w:t>
      </w:r>
    </w:p>
    <w:p w14:paraId="6F08F4D2" w14:textId="77777777" w:rsidR="00605DD4" w:rsidRDefault="00605DD4" w:rsidP="00605DD4">
      <w:pPr>
        <w:rPr>
          <w:rFonts w:ascii="Arial" w:eastAsia="Times New Roman" w:hAnsi="Arial" w:cs="Arial"/>
          <w:color w:val="000000" w:themeColor="text1"/>
          <w:sz w:val="24"/>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5DD4">
        <w:rPr>
          <w:rFonts w:ascii="Arial" w:eastAsia="Times New Roman" w:hAnsi="Arial" w:cs="Arial"/>
          <w:color w:val="000000" w:themeColor="text1"/>
          <w:sz w:val="24"/>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FY 18-19 revenue stands at H16,362 crores with 5 years CAGR of 10% has largely been driven by strong performance in home markets of India, North America new launches and acquisitions, and South Africa private market partly offset by challenges in Middle Eastern markets. Absolute EBITDA saw a CAGR of 10.1% over the last 5 years, owing to contribution from new businesses, improvement in the portfolio mix, new launches in North America partly impacted by higher R&amp;D investments in recent years.</w:t>
      </w:r>
    </w:p>
    <w:p w14:paraId="6A47F5F8" w14:textId="354B8B8C" w:rsidR="00D87921" w:rsidRPr="00F27B5F" w:rsidRDefault="007A5625" w:rsidP="00605DD4">
      <w:pPr>
        <w:rPr>
          <w:rFonts w:ascii="Arial" w:hAnsi="Arial" w:cs="Arial"/>
          <w:b/>
          <w:bCs/>
          <w:sz w:val="30"/>
          <w:szCs w:val="30"/>
        </w:rPr>
      </w:pPr>
      <w:r w:rsidRPr="007A5625">
        <w:rPr>
          <w:rFonts w:ascii="Arial" w:hAnsi="Arial" w:cs="Arial"/>
          <w:b/>
          <w:bCs/>
          <w:sz w:val="30"/>
          <w:szCs w:val="30"/>
        </w:rPr>
        <w:t>Management Discussion and Analysis</w:t>
      </w:r>
    </w:p>
    <w:p w14:paraId="1428AA6B" w14:textId="77777777" w:rsidR="00061D11" w:rsidRPr="00061D11" w:rsidRDefault="00061D11" w:rsidP="00061D11">
      <w:pPr>
        <w:rPr>
          <w:rFonts w:ascii="Arial" w:hAnsi="Arial" w:cs="Arial"/>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61D11">
        <w:rPr>
          <w:rFonts w:ascii="Arial" w:hAnsi="Arial" w:cs="Arial"/>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Cipla has always put patient's interests first while living its purpose of 'Caring for Life'. Driving access to quality medication to patients across the globe has been at the forefront of Cipla. The Company's high quality branded and generic medicines have made an unparalleled contribution to improving health in over 80 countries globally for over 83 years. Multiple generic products in global markets have been launched by Cipla. Cipla has taken several steps including choices on capital allocation to ensure it is designed to win in a challenging global environment. </w:t>
      </w:r>
    </w:p>
    <w:p w14:paraId="771E9546" w14:textId="77777777" w:rsidR="00061D11" w:rsidRPr="00061D11" w:rsidRDefault="00061D11" w:rsidP="00061D11">
      <w:pPr>
        <w:rPr>
          <w:rFonts w:ascii="Arial" w:hAnsi="Arial" w:cs="Arial"/>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61D11">
        <w:rPr>
          <w:rFonts w:ascii="Arial" w:hAnsi="Arial" w:cs="Arial"/>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key therapeutic areas for Cipla will be Autoimmune, Oncology, Diabetology, and Cardiology. These therapeutic areas along with anti-HIV drugs and Respiratory are key components of the company's growth.</w:t>
      </w:r>
    </w:p>
    <w:p w14:paraId="48FB8E2E" w14:textId="6B51866E" w:rsidR="00605DD4" w:rsidRPr="00D87921" w:rsidRDefault="00061D11" w:rsidP="00061D11">
      <w:pPr>
        <w:rPr>
          <w:rFonts w:ascii="Arial" w:hAnsi="Arial" w:cs="Arial"/>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61D11">
        <w:rPr>
          <w:rFonts w:ascii="Arial" w:hAnsi="Arial" w:cs="Arial"/>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Company made significant progress in its key priorities across businesses. The Company's focus on driving profitable growth helped deliver FY 18-19 PAT of H1,528 crores, highest amongst the last 6 years. The year also saw a significant </w:t>
      </w:r>
      <w:r w:rsidRPr="00061D11">
        <w:rPr>
          <w:rFonts w:ascii="Arial" w:hAnsi="Arial" w:cs="Arial"/>
          <w:color w:val="000000" w:themeColor="text1"/>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ramp-up in Specialty investments towards building another sustainable engine of growth for the Company.</w:t>
      </w:r>
    </w:p>
    <w:p w14:paraId="5D640686" w14:textId="2C498033" w:rsidR="00F15705" w:rsidRDefault="00F15705">
      <w:pPr>
        <w:rPr>
          <w:rFonts w:ascii="Arial" w:hAnsi="Arial" w:cs="Arial"/>
          <w:b/>
          <w:bCs/>
          <w:sz w:val="30"/>
          <w:szCs w:val="30"/>
        </w:rPr>
      </w:pPr>
      <w:r>
        <w:rPr>
          <w:rFonts w:ascii="Arial" w:hAnsi="Arial" w:cs="Arial"/>
          <w:b/>
          <w:bCs/>
          <w:sz w:val="30"/>
          <w:szCs w:val="30"/>
        </w:rPr>
        <w:t>Key Ratios</w:t>
      </w:r>
    </w:p>
    <w:tbl>
      <w:tblPr>
        <w:tblW w:w="7801" w:type="dxa"/>
        <w:tblLook w:val="04A0" w:firstRow="1" w:lastRow="0" w:firstColumn="1" w:lastColumn="0" w:noHBand="0" w:noVBand="1"/>
      </w:tblPr>
      <w:tblGrid>
        <w:gridCol w:w="3001"/>
        <w:gridCol w:w="960"/>
        <w:gridCol w:w="960"/>
        <w:gridCol w:w="960"/>
        <w:gridCol w:w="960"/>
        <w:gridCol w:w="960"/>
      </w:tblGrid>
      <w:tr w:rsidR="007C3F92" w:rsidRPr="007C3F92" w14:paraId="599623C5" w14:textId="77777777" w:rsidTr="007C3F92">
        <w:trPr>
          <w:trHeight w:val="300"/>
        </w:trPr>
        <w:tc>
          <w:tcPr>
            <w:tcW w:w="300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21DC88C"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BA3A528"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2014-15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003EAF0"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2015-16</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158D952"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2016-17</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895FA5B"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2017-18</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CB2272F"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2018-19</w:t>
            </w:r>
          </w:p>
        </w:tc>
      </w:tr>
      <w:tr w:rsidR="007C3F92" w:rsidRPr="007C3F92" w14:paraId="31A460F6" w14:textId="77777777" w:rsidTr="007C3F92">
        <w:trPr>
          <w:trHeight w:val="580"/>
        </w:trPr>
        <w:tc>
          <w:tcPr>
            <w:tcW w:w="3001" w:type="dxa"/>
            <w:tcBorders>
              <w:top w:val="nil"/>
              <w:left w:val="single" w:sz="8" w:space="0" w:color="auto"/>
              <w:bottom w:val="single" w:sz="4" w:space="0" w:color="auto"/>
              <w:right w:val="single" w:sz="4" w:space="0" w:color="auto"/>
            </w:tcBorders>
            <w:shd w:val="clear" w:color="auto" w:fill="auto"/>
            <w:vAlign w:val="center"/>
            <w:hideMark/>
          </w:tcPr>
          <w:p w14:paraId="6FE71368"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Book Value Per Share Annual Rs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E06AA1"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136.5</w:t>
            </w:r>
          </w:p>
        </w:tc>
        <w:tc>
          <w:tcPr>
            <w:tcW w:w="960" w:type="dxa"/>
            <w:tcBorders>
              <w:top w:val="nil"/>
              <w:left w:val="nil"/>
              <w:bottom w:val="single" w:sz="4" w:space="0" w:color="auto"/>
              <w:right w:val="single" w:sz="4" w:space="0" w:color="auto"/>
            </w:tcBorders>
            <w:shd w:val="clear" w:color="auto" w:fill="auto"/>
            <w:noWrap/>
            <w:vAlign w:val="bottom"/>
            <w:hideMark/>
          </w:tcPr>
          <w:p w14:paraId="5267610D"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147.7</w:t>
            </w:r>
          </w:p>
        </w:tc>
        <w:tc>
          <w:tcPr>
            <w:tcW w:w="960" w:type="dxa"/>
            <w:tcBorders>
              <w:top w:val="nil"/>
              <w:left w:val="nil"/>
              <w:bottom w:val="single" w:sz="4" w:space="0" w:color="auto"/>
              <w:right w:val="single" w:sz="4" w:space="0" w:color="auto"/>
            </w:tcBorders>
            <w:shd w:val="clear" w:color="auto" w:fill="auto"/>
            <w:noWrap/>
            <w:vAlign w:val="bottom"/>
            <w:hideMark/>
          </w:tcPr>
          <w:p w14:paraId="63032343"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161.4</w:t>
            </w:r>
          </w:p>
        </w:tc>
        <w:tc>
          <w:tcPr>
            <w:tcW w:w="960" w:type="dxa"/>
            <w:tcBorders>
              <w:top w:val="nil"/>
              <w:left w:val="nil"/>
              <w:bottom w:val="single" w:sz="4" w:space="0" w:color="auto"/>
              <w:right w:val="single" w:sz="4" w:space="0" w:color="auto"/>
            </w:tcBorders>
            <w:shd w:val="clear" w:color="auto" w:fill="auto"/>
            <w:noWrap/>
            <w:vAlign w:val="bottom"/>
            <w:hideMark/>
          </w:tcPr>
          <w:p w14:paraId="0A6C9EA1"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181.1</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040E3F70"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190.4</w:t>
            </w:r>
          </w:p>
        </w:tc>
      </w:tr>
      <w:tr w:rsidR="007C3F92" w:rsidRPr="007C3F92" w14:paraId="6C8891E5" w14:textId="77777777" w:rsidTr="007C3F92">
        <w:trPr>
          <w:trHeight w:val="290"/>
        </w:trPr>
        <w:tc>
          <w:tcPr>
            <w:tcW w:w="3001" w:type="dxa"/>
            <w:tcBorders>
              <w:top w:val="nil"/>
              <w:left w:val="single" w:sz="8" w:space="0" w:color="auto"/>
              <w:bottom w:val="single" w:sz="4" w:space="0" w:color="auto"/>
              <w:right w:val="single" w:sz="4" w:space="0" w:color="auto"/>
            </w:tcBorders>
            <w:shd w:val="clear" w:color="auto" w:fill="auto"/>
            <w:noWrap/>
            <w:vAlign w:val="bottom"/>
            <w:hideMark/>
          </w:tcPr>
          <w:p w14:paraId="0A289CD4"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ROCE Annual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15343A"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0.1541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816C49"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0.1448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2416D8"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0.0782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8D2CB8"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0.0978</w:t>
            </w:r>
          </w:p>
        </w:tc>
        <w:tc>
          <w:tcPr>
            <w:tcW w:w="960" w:type="dxa"/>
            <w:tcBorders>
              <w:top w:val="nil"/>
              <w:left w:val="nil"/>
              <w:bottom w:val="single" w:sz="4" w:space="0" w:color="auto"/>
              <w:right w:val="single" w:sz="8" w:space="0" w:color="auto"/>
            </w:tcBorders>
            <w:shd w:val="clear" w:color="auto" w:fill="auto"/>
            <w:noWrap/>
            <w:vAlign w:val="bottom"/>
            <w:hideMark/>
          </w:tcPr>
          <w:p w14:paraId="04F956EE"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0.1113</w:t>
            </w:r>
          </w:p>
        </w:tc>
      </w:tr>
      <w:tr w:rsidR="007C3F92" w:rsidRPr="007C3F92" w14:paraId="070F8467" w14:textId="77777777" w:rsidTr="007C3F92">
        <w:trPr>
          <w:trHeight w:val="290"/>
        </w:trPr>
        <w:tc>
          <w:tcPr>
            <w:tcW w:w="3001" w:type="dxa"/>
            <w:tcBorders>
              <w:top w:val="nil"/>
              <w:left w:val="single" w:sz="8" w:space="0" w:color="auto"/>
              <w:bottom w:val="single" w:sz="4" w:space="0" w:color="auto"/>
              <w:right w:val="single" w:sz="4" w:space="0" w:color="auto"/>
            </w:tcBorders>
            <w:shd w:val="clear" w:color="auto" w:fill="auto"/>
            <w:vAlign w:val="center"/>
            <w:hideMark/>
          </w:tcPr>
          <w:p w14:paraId="4E51E930"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Net Profit Margin Annual %</w:t>
            </w:r>
          </w:p>
        </w:tc>
        <w:tc>
          <w:tcPr>
            <w:tcW w:w="960" w:type="dxa"/>
            <w:tcBorders>
              <w:top w:val="nil"/>
              <w:left w:val="nil"/>
              <w:bottom w:val="single" w:sz="4" w:space="0" w:color="auto"/>
              <w:right w:val="single" w:sz="4" w:space="0" w:color="auto"/>
            </w:tcBorders>
            <w:shd w:val="clear" w:color="auto" w:fill="auto"/>
            <w:vAlign w:val="bottom"/>
            <w:hideMark/>
          </w:tcPr>
          <w:p w14:paraId="376BBEF7"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0.1105</w:t>
            </w:r>
          </w:p>
        </w:tc>
        <w:tc>
          <w:tcPr>
            <w:tcW w:w="960" w:type="dxa"/>
            <w:tcBorders>
              <w:top w:val="nil"/>
              <w:left w:val="nil"/>
              <w:bottom w:val="single" w:sz="4" w:space="0" w:color="auto"/>
              <w:right w:val="single" w:sz="4" w:space="0" w:color="auto"/>
            </w:tcBorders>
            <w:shd w:val="clear" w:color="auto" w:fill="auto"/>
            <w:vAlign w:val="bottom"/>
            <w:hideMark/>
          </w:tcPr>
          <w:p w14:paraId="3B89CC1E"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0.1011</w:t>
            </w:r>
          </w:p>
        </w:tc>
        <w:tc>
          <w:tcPr>
            <w:tcW w:w="960" w:type="dxa"/>
            <w:tcBorders>
              <w:top w:val="nil"/>
              <w:left w:val="nil"/>
              <w:bottom w:val="single" w:sz="4" w:space="0" w:color="auto"/>
              <w:right w:val="single" w:sz="4" w:space="0" w:color="auto"/>
            </w:tcBorders>
            <w:shd w:val="clear" w:color="auto" w:fill="auto"/>
            <w:vAlign w:val="bottom"/>
            <w:hideMark/>
          </w:tcPr>
          <w:p w14:paraId="30687231"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0.0724</w:t>
            </w:r>
          </w:p>
        </w:tc>
        <w:tc>
          <w:tcPr>
            <w:tcW w:w="960" w:type="dxa"/>
            <w:tcBorders>
              <w:top w:val="nil"/>
              <w:left w:val="nil"/>
              <w:bottom w:val="single" w:sz="4" w:space="0" w:color="auto"/>
              <w:right w:val="single" w:sz="4" w:space="0" w:color="auto"/>
            </w:tcBorders>
            <w:shd w:val="clear" w:color="auto" w:fill="auto"/>
            <w:vAlign w:val="bottom"/>
            <w:hideMark/>
          </w:tcPr>
          <w:p w14:paraId="31F18CBB"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0.0936</w:t>
            </w:r>
          </w:p>
        </w:tc>
        <w:tc>
          <w:tcPr>
            <w:tcW w:w="960" w:type="dxa"/>
            <w:tcBorders>
              <w:top w:val="nil"/>
              <w:left w:val="nil"/>
              <w:bottom w:val="single" w:sz="4" w:space="0" w:color="auto"/>
              <w:right w:val="single" w:sz="8" w:space="0" w:color="auto"/>
            </w:tcBorders>
            <w:shd w:val="clear" w:color="auto" w:fill="auto"/>
            <w:vAlign w:val="bottom"/>
            <w:hideMark/>
          </w:tcPr>
          <w:p w14:paraId="1AB0ADFD"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0.0922</w:t>
            </w:r>
          </w:p>
        </w:tc>
      </w:tr>
      <w:tr w:rsidR="007C3F92" w:rsidRPr="007C3F92" w14:paraId="14B0C126" w14:textId="77777777" w:rsidTr="007C3F92">
        <w:trPr>
          <w:trHeight w:val="290"/>
        </w:trPr>
        <w:tc>
          <w:tcPr>
            <w:tcW w:w="3001" w:type="dxa"/>
            <w:tcBorders>
              <w:top w:val="nil"/>
              <w:left w:val="single" w:sz="8" w:space="0" w:color="auto"/>
              <w:bottom w:val="single" w:sz="4" w:space="0" w:color="auto"/>
              <w:right w:val="single" w:sz="4" w:space="0" w:color="auto"/>
            </w:tcBorders>
            <w:shd w:val="clear" w:color="auto" w:fill="auto"/>
            <w:noWrap/>
            <w:vAlign w:val="bottom"/>
            <w:hideMark/>
          </w:tcPr>
          <w:p w14:paraId="79570D73"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Current Ratio Annual</w:t>
            </w:r>
          </w:p>
        </w:tc>
        <w:tc>
          <w:tcPr>
            <w:tcW w:w="960" w:type="dxa"/>
            <w:tcBorders>
              <w:top w:val="nil"/>
              <w:left w:val="nil"/>
              <w:bottom w:val="single" w:sz="4" w:space="0" w:color="auto"/>
              <w:right w:val="single" w:sz="4" w:space="0" w:color="auto"/>
            </w:tcBorders>
            <w:shd w:val="clear" w:color="auto" w:fill="auto"/>
            <w:noWrap/>
            <w:vAlign w:val="bottom"/>
            <w:hideMark/>
          </w:tcPr>
          <w:p w14:paraId="1BABF129"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1.9</w:t>
            </w:r>
          </w:p>
        </w:tc>
        <w:tc>
          <w:tcPr>
            <w:tcW w:w="960" w:type="dxa"/>
            <w:tcBorders>
              <w:top w:val="nil"/>
              <w:left w:val="nil"/>
              <w:bottom w:val="single" w:sz="4" w:space="0" w:color="auto"/>
              <w:right w:val="single" w:sz="4" w:space="0" w:color="auto"/>
            </w:tcBorders>
            <w:shd w:val="clear" w:color="auto" w:fill="auto"/>
            <w:noWrap/>
            <w:vAlign w:val="bottom"/>
            <w:hideMark/>
          </w:tcPr>
          <w:p w14:paraId="2E4F7974"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1.1</w:t>
            </w:r>
          </w:p>
        </w:tc>
        <w:tc>
          <w:tcPr>
            <w:tcW w:w="960" w:type="dxa"/>
            <w:tcBorders>
              <w:top w:val="nil"/>
              <w:left w:val="nil"/>
              <w:bottom w:val="single" w:sz="4" w:space="0" w:color="auto"/>
              <w:right w:val="single" w:sz="4" w:space="0" w:color="auto"/>
            </w:tcBorders>
            <w:shd w:val="clear" w:color="auto" w:fill="auto"/>
            <w:noWrap/>
            <w:vAlign w:val="bottom"/>
            <w:hideMark/>
          </w:tcPr>
          <w:p w14:paraId="39F31C86"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2.6</w:t>
            </w:r>
          </w:p>
        </w:tc>
        <w:tc>
          <w:tcPr>
            <w:tcW w:w="960" w:type="dxa"/>
            <w:tcBorders>
              <w:top w:val="nil"/>
              <w:left w:val="nil"/>
              <w:bottom w:val="single" w:sz="4" w:space="0" w:color="auto"/>
              <w:right w:val="single" w:sz="4" w:space="0" w:color="auto"/>
            </w:tcBorders>
            <w:shd w:val="clear" w:color="auto" w:fill="auto"/>
            <w:noWrap/>
            <w:vAlign w:val="bottom"/>
            <w:hideMark/>
          </w:tcPr>
          <w:p w14:paraId="3E9A2229"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2.8</w:t>
            </w:r>
          </w:p>
        </w:tc>
        <w:tc>
          <w:tcPr>
            <w:tcW w:w="960" w:type="dxa"/>
            <w:tcBorders>
              <w:top w:val="nil"/>
              <w:left w:val="nil"/>
              <w:bottom w:val="single" w:sz="4" w:space="0" w:color="auto"/>
              <w:right w:val="single" w:sz="8" w:space="0" w:color="auto"/>
            </w:tcBorders>
            <w:shd w:val="clear" w:color="auto" w:fill="auto"/>
            <w:noWrap/>
            <w:vAlign w:val="bottom"/>
            <w:hideMark/>
          </w:tcPr>
          <w:p w14:paraId="3A1D64CC" w14:textId="77777777" w:rsidR="007C3F92" w:rsidRPr="007C3F92" w:rsidRDefault="007C3F92" w:rsidP="007C3F92">
            <w:pPr>
              <w:spacing w:after="0" w:line="240" w:lineRule="auto"/>
              <w:jc w:val="right"/>
              <w:rPr>
                <w:rFonts w:ascii="Calibri" w:eastAsia="Times New Roman" w:hAnsi="Calibri" w:cs="Calibri"/>
                <w:color w:val="000000"/>
                <w:lang w:eastAsia="en-IN"/>
              </w:rPr>
            </w:pPr>
            <w:r w:rsidRPr="007C3F92">
              <w:rPr>
                <w:rFonts w:ascii="Calibri" w:eastAsia="Times New Roman" w:hAnsi="Calibri" w:cs="Calibri"/>
                <w:color w:val="000000"/>
                <w:lang w:eastAsia="en-IN"/>
              </w:rPr>
              <w:t>3.3</w:t>
            </w:r>
          </w:p>
        </w:tc>
      </w:tr>
      <w:tr w:rsidR="007C3F92" w:rsidRPr="007C3F92" w14:paraId="2D26B81D" w14:textId="77777777" w:rsidTr="007C3F92">
        <w:trPr>
          <w:trHeight w:val="300"/>
        </w:trPr>
        <w:tc>
          <w:tcPr>
            <w:tcW w:w="3001" w:type="dxa"/>
            <w:tcBorders>
              <w:top w:val="nil"/>
              <w:left w:val="single" w:sz="8" w:space="0" w:color="auto"/>
              <w:bottom w:val="single" w:sz="8" w:space="0" w:color="auto"/>
              <w:right w:val="single" w:sz="4" w:space="0" w:color="auto"/>
            </w:tcBorders>
            <w:shd w:val="clear" w:color="auto" w:fill="auto"/>
            <w:noWrap/>
            <w:vAlign w:val="bottom"/>
            <w:hideMark/>
          </w:tcPr>
          <w:p w14:paraId="5BEE9CE1"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Total Debt to Total Equity Annual</w:t>
            </w:r>
          </w:p>
        </w:tc>
        <w:tc>
          <w:tcPr>
            <w:tcW w:w="960" w:type="dxa"/>
            <w:tcBorders>
              <w:top w:val="nil"/>
              <w:left w:val="nil"/>
              <w:bottom w:val="single" w:sz="8" w:space="0" w:color="auto"/>
              <w:right w:val="single" w:sz="4" w:space="0" w:color="auto"/>
            </w:tcBorders>
            <w:shd w:val="clear" w:color="auto" w:fill="auto"/>
            <w:noWrap/>
            <w:vAlign w:val="bottom"/>
            <w:hideMark/>
          </w:tcPr>
          <w:p w14:paraId="6C0547EA"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 xml:space="preserve">      0.034 </w:t>
            </w:r>
          </w:p>
        </w:tc>
        <w:tc>
          <w:tcPr>
            <w:tcW w:w="960" w:type="dxa"/>
            <w:tcBorders>
              <w:top w:val="nil"/>
              <w:left w:val="nil"/>
              <w:bottom w:val="single" w:sz="8" w:space="0" w:color="auto"/>
              <w:right w:val="single" w:sz="4" w:space="0" w:color="auto"/>
            </w:tcBorders>
            <w:shd w:val="clear" w:color="auto" w:fill="auto"/>
            <w:noWrap/>
            <w:vAlign w:val="bottom"/>
            <w:hideMark/>
          </w:tcPr>
          <w:p w14:paraId="21A4D698"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 xml:space="preserve">      0.024 </w:t>
            </w:r>
          </w:p>
        </w:tc>
        <w:tc>
          <w:tcPr>
            <w:tcW w:w="960" w:type="dxa"/>
            <w:tcBorders>
              <w:top w:val="nil"/>
              <w:left w:val="nil"/>
              <w:bottom w:val="single" w:sz="8" w:space="0" w:color="auto"/>
              <w:right w:val="single" w:sz="4" w:space="0" w:color="auto"/>
            </w:tcBorders>
            <w:shd w:val="clear" w:color="auto" w:fill="auto"/>
            <w:noWrap/>
            <w:vAlign w:val="bottom"/>
            <w:hideMark/>
          </w:tcPr>
          <w:p w14:paraId="4BC93EFD"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 xml:space="preserve">      0.019 </w:t>
            </w:r>
          </w:p>
        </w:tc>
        <w:tc>
          <w:tcPr>
            <w:tcW w:w="960" w:type="dxa"/>
            <w:tcBorders>
              <w:top w:val="nil"/>
              <w:left w:val="nil"/>
              <w:bottom w:val="single" w:sz="8" w:space="0" w:color="auto"/>
              <w:right w:val="single" w:sz="4" w:space="0" w:color="auto"/>
            </w:tcBorders>
            <w:shd w:val="clear" w:color="auto" w:fill="auto"/>
            <w:noWrap/>
            <w:vAlign w:val="bottom"/>
            <w:hideMark/>
          </w:tcPr>
          <w:p w14:paraId="02824B7A"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 xml:space="preserve">      0.017 </w:t>
            </w:r>
          </w:p>
        </w:tc>
        <w:tc>
          <w:tcPr>
            <w:tcW w:w="960" w:type="dxa"/>
            <w:tcBorders>
              <w:top w:val="nil"/>
              <w:left w:val="nil"/>
              <w:bottom w:val="single" w:sz="8" w:space="0" w:color="auto"/>
              <w:right w:val="single" w:sz="8" w:space="0" w:color="auto"/>
            </w:tcBorders>
            <w:shd w:val="clear" w:color="auto" w:fill="auto"/>
            <w:noWrap/>
            <w:vAlign w:val="bottom"/>
            <w:hideMark/>
          </w:tcPr>
          <w:p w14:paraId="5B963972" w14:textId="77777777" w:rsidR="007C3F92" w:rsidRPr="007C3F92" w:rsidRDefault="007C3F92" w:rsidP="007C3F92">
            <w:pPr>
              <w:spacing w:after="0" w:line="240" w:lineRule="auto"/>
              <w:rPr>
                <w:rFonts w:ascii="Calibri" w:eastAsia="Times New Roman" w:hAnsi="Calibri" w:cs="Calibri"/>
                <w:color w:val="000000"/>
                <w:lang w:eastAsia="en-IN"/>
              </w:rPr>
            </w:pPr>
            <w:r w:rsidRPr="007C3F92">
              <w:rPr>
                <w:rFonts w:ascii="Calibri" w:eastAsia="Times New Roman" w:hAnsi="Calibri" w:cs="Calibri"/>
                <w:color w:val="000000"/>
                <w:lang w:eastAsia="en-IN"/>
              </w:rPr>
              <w:t xml:space="preserve">      0.017 </w:t>
            </w:r>
          </w:p>
        </w:tc>
      </w:tr>
    </w:tbl>
    <w:p w14:paraId="7475B2D1" w14:textId="77777777" w:rsidR="007C3F92" w:rsidRDefault="007C3F92">
      <w:pPr>
        <w:rPr>
          <w:rFonts w:ascii="Arial" w:hAnsi="Arial" w:cs="Arial"/>
          <w:b/>
          <w:bCs/>
          <w:sz w:val="30"/>
          <w:szCs w:val="30"/>
        </w:rPr>
      </w:pPr>
    </w:p>
    <w:p w14:paraId="0E139351" w14:textId="3A41410D" w:rsidR="00F15705" w:rsidRDefault="00F15705">
      <w:pPr>
        <w:rPr>
          <w:rFonts w:ascii="Arial" w:hAnsi="Arial" w:cs="Arial"/>
          <w:b/>
          <w:bCs/>
          <w:sz w:val="30"/>
          <w:szCs w:val="30"/>
        </w:rPr>
      </w:pPr>
      <w:r>
        <w:rPr>
          <w:noProof/>
        </w:rPr>
        <w:drawing>
          <wp:inline distT="0" distB="0" distL="0" distR="0" wp14:anchorId="2AC6B881" wp14:editId="4BE891AB">
            <wp:extent cx="4311650" cy="2457450"/>
            <wp:effectExtent l="0" t="0" r="12700" b="0"/>
            <wp:docPr id="1" name="Chart 1">
              <a:extLst xmlns:a="http://schemas.openxmlformats.org/drawingml/2006/main">
                <a:ext uri="{FF2B5EF4-FFF2-40B4-BE49-F238E27FC236}">
                  <a16:creationId xmlns:a16="http://schemas.microsoft.com/office/drawing/2014/main" id="{C94BAD0A-F4C9-4394-8453-2FD123190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69734D" w14:textId="7EB94287" w:rsidR="00F15705" w:rsidRDefault="00F15705">
      <w:pPr>
        <w:rPr>
          <w:rFonts w:ascii="Arial" w:hAnsi="Arial" w:cs="Arial"/>
          <w:b/>
          <w:bCs/>
          <w:sz w:val="30"/>
          <w:szCs w:val="30"/>
        </w:rPr>
      </w:pPr>
      <w:r>
        <w:rPr>
          <w:rFonts w:ascii="Arial" w:hAnsi="Arial" w:cs="Arial"/>
          <w:b/>
          <w:bCs/>
          <w:sz w:val="30"/>
          <w:szCs w:val="30"/>
        </w:rPr>
        <w:t xml:space="preserve">Analysis: </w:t>
      </w:r>
    </w:p>
    <w:p w14:paraId="7643F99D" w14:textId="77777777" w:rsidR="00605DD4" w:rsidRPr="00605DD4" w:rsidRDefault="00605DD4" w:rsidP="00605DD4">
      <w:pPr>
        <w:rPr>
          <w:rFonts w:ascii="Arial" w:eastAsia="Times New Roman" w:hAnsi="Arial" w:cs="Arial"/>
          <w:color w:val="000000"/>
          <w:sz w:val="28"/>
          <w:szCs w:val="28"/>
          <w:lang w:eastAsia="en-IN"/>
        </w:rPr>
      </w:pPr>
      <w:r w:rsidRPr="00605DD4">
        <w:rPr>
          <w:rFonts w:ascii="Arial" w:eastAsia="Times New Roman" w:hAnsi="Arial" w:cs="Arial"/>
          <w:color w:val="000000"/>
          <w:sz w:val="28"/>
          <w:szCs w:val="28"/>
          <w:lang w:eastAsia="en-IN"/>
        </w:rPr>
        <w:t>BV per share is increasing. This is because the company is earning and retaining profits.  The company is not levered to a great extent therefore a lot of profit is not apportioned to debt holders.</w:t>
      </w:r>
    </w:p>
    <w:p w14:paraId="76B7A3AE" w14:textId="60870D9E" w:rsidR="00F15705" w:rsidRDefault="00F15705">
      <w:pPr>
        <w:rPr>
          <w:rFonts w:ascii="Arial" w:hAnsi="Arial" w:cs="Arial"/>
          <w:b/>
          <w:bCs/>
          <w:sz w:val="30"/>
          <w:szCs w:val="30"/>
        </w:rPr>
      </w:pPr>
      <w:r>
        <w:rPr>
          <w:noProof/>
        </w:rPr>
        <w:drawing>
          <wp:inline distT="0" distB="0" distL="0" distR="0" wp14:anchorId="694B842B" wp14:editId="79D14BC2">
            <wp:extent cx="4292600" cy="2501900"/>
            <wp:effectExtent l="0" t="0" r="12700" b="12700"/>
            <wp:docPr id="2" name="Chart 2">
              <a:extLst xmlns:a="http://schemas.openxmlformats.org/drawingml/2006/main">
                <a:ext uri="{FF2B5EF4-FFF2-40B4-BE49-F238E27FC236}">
                  <a16:creationId xmlns:a16="http://schemas.microsoft.com/office/drawing/2014/main" id="{BEDBD130-63DF-4C9F-932D-6E068A94F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8225E96" w14:textId="4B2FD619" w:rsidR="00F15705" w:rsidRDefault="00F15705">
      <w:pPr>
        <w:rPr>
          <w:rFonts w:ascii="Arial" w:hAnsi="Arial" w:cs="Arial"/>
          <w:b/>
          <w:bCs/>
          <w:sz w:val="30"/>
          <w:szCs w:val="30"/>
        </w:rPr>
      </w:pPr>
      <w:r>
        <w:rPr>
          <w:rFonts w:ascii="Arial" w:hAnsi="Arial" w:cs="Arial"/>
          <w:b/>
          <w:bCs/>
          <w:sz w:val="30"/>
          <w:szCs w:val="30"/>
        </w:rPr>
        <w:lastRenderedPageBreak/>
        <w:t>Analysis:</w:t>
      </w:r>
    </w:p>
    <w:p w14:paraId="03425680" w14:textId="5F5E4600" w:rsidR="00F15705" w:rsidRDefault="00605DD4" w:rsidP="00F15705">
      <w:pPr>
        <w:spacing w:after="0" w:line="240" w:lineRule="auto"/>
        <w:rPr>
          <w:rFonts w:ascii="Arial" w:eastAsia="Times New Roman" w:hAnsi="Arial" w:cs="Arial"/>
          <w:color w:val="000000"/>
          <w:sz w:val="28"/>
          <w:szCs w:val="28"/>
          <w:lang w:eastAsia="en-IN"/>
        </w:rPr>
      </w:pPr>
      <w:r w:rsidRPr="00605DD4">
        <w:rPr>
          <w:rFonts w:ascii="Arial" w:eastAsia="Times New Roman" w:hAnsi="Arial" w:cs="Arial"/>
          <w:color w:val="000000"/>
          <w:sz w:val="28"/>
          <w:szCs w:val="28"/>
          <w:lang w:eastAsia="en-IN"/>
        </w:rPr>
        <w:t>Return on Capital Employed is more for the years with less debt as the company cost of debt is higher than the cost of equity</w:t>
      </w:r>
      <w:r>
        <w:rPr>
          <w:rFonts w:ascii="Arial" w:eastAsia="Times New Roman" w:hAnsi="Arial" w:cs="Arial"/>
          <w:color w:val="000000"/>
          <w:sz w:val="28"/>
          <w:szCs w:val="28"/>
          <w:lang w:eastAsia="en-IN"/>
        </w:rPr>
        <w:t>.</w:t>
      </w:r>
    </w:p>
    <w:p w14:paraId="3EB04810" w14:textId="77777777" w:rsidR="00605DD4" w:rsidRDefault="00605DD4" w:rsidP="00F15705">
      <w:pPr>
        <w:spacing w:after="0" w:line="240" w:lineRule="auto"/>
        <w:rPr>
          <w:rFonts w:ascii="Arial" w:eastAsia="Times New Roman" w:hAnsi="Arial" w:cs="Arial"/>
          <w:color w:val="000000"/>
          <w:sz w:val="28"/>
          <w:szCs w:val="28"/>
          <w:lang w:eastAsia="en-IN"/>
        </w:rPr>
      </w:pPr>
    </w:p>
    <w:p w14:paraId="618A44F8" w14:textId="2B59638C" w:rsidR="00F15705" w:rsidRDefault="00F15705" w:rsidP="00F15705">
      <w:pPr>
        <w:spacing w:after="0" w:line="240" w:lineRule="auto"/>
        <w:rPr>
          <w:rFonts w:ascii="Arial" w:eastAsia="Times New Roman" w:hAnsi="Arial" w:cs="Arial"/>
          <w:color w:val="000000"/>
          <w:sz w:val="28"/>
          <w:szCs w:val="28"/>
          <w:lang w:eastAsia="en-IN"/>
        </w:rPr>
      </w:pPr>
      <w:r>
        <w:rPr>
          <w:noProof/>
        </w:rPr>
        <w:drawing>
          <wp:inline distT="0" distB="0" distL="0" distR="0" wp14:anchorId="7F99678E" wp14:editId="6D545799">
            <wp:extent cx="4260850" cy="2349500"/>
            <wp:effectExtent l="0" t="0" r="6350" b="12700"/>
            <wp:docPr id="3" name="Chart 3">
              <a:extLst xmlns:a="http://schemas.openxmlformats.org/drawingml/2006/main">
                <a:ext uri="{FF2B5EF4-FFF2-40B4-BE49-F238E27FC236}">
                  <a16:creationId xmlns:a16="http://schemas.microsoft.com/office/drawing/2014/main" id="{920A693E-2F20-4A4E-95E1-44FC3F9D12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4CC688" w14:textId="6281945F" w:rsidR="00F15705" w:rsidRDefault="00F15705" w:rsidP="00F15705">
      <w:pPr>
        <w:spacing w:after="0" w:line="240" w:lineRule="auto"/>
        <w:rPr>
          <w:rFonts w:ascii="Arial" w:eastAsia="Times New Roman" w:hAnsi="Arial" w:cs="Arial"/>
          <w:color w:val="000000"/>
          <w:sz w:val="28"/>
          <w:szCs w:val="28"/>
          <w:lang w:eastAsia="en-IN"/>
        </w:rPr>
      </w:pPr>
    </w:p>
    <w:p w14:paraId="5F1079E5" w14:textId="77777777" w:rsidR="00F15705" w:rsidRDefault="00F15705" w:rsidP="00F15705">
      <w:pPr>
        <w:spacing w:after="0" w:line="240" w:lineRule="auto"/>
        <w:rPr>
          <w:rFonts w:ascii="Arial" w:eastAsia="Times New Roman" w:hAnsi="Arial" w:cs="Arial"/>
          <w:b/>
          <w:bCs/>
          <w:color w:val="000000"/>
          <w:sz w:val="30"/>
          <w:szCs w:val="30"/>
          <w:lang w:eastAsia="en-IN"/>
        </w:rPr>
      </w:pPr>
      <w:r w:rsidRPr="00F15705">
        <w:rPr>
          <w:rFonts w:ascii="Arial" w:eastAsia="Times New Roman" w:hAnsi="Arial" w:cs="Arial"/>
          <w:b/>
          <w:bCs/>
          <w:color w:val="000000"/>
          <w:sz w:val="30"/>
          <w:szCs w:val="30"/>
          <w:lang w:eastAsia="en-IN"/>
        </w:rPr>
        <w:t>Analysis:</w:t>
      </w:r>
    </w:p>
    <w:p w14:paraId="641A4782" w14:textId="5D68FC55" w:rsidR="007A5625" w:rsidRDefault="00605DD4" w:rsidP="00F15705">
      <w:pPr>
        <w:spacing w:after="0" w:line="240" w:lineRule="auto"/>
        <w:rPr>
          <w:rFonts w:ascii="Arial" w:eastAsia="Times New Roman" w:hAnsi="Arial" w:cs="Arial"/>
          <w:color w:val="000000"/>
          <w:sz w:val="28"/>
          <w:szCs w:val="28"/>
          <w:lang w:eastAsia="en-IN"/>
        </w:rPr>
      </w:pPr>
      <w:r w:rsidRPr="00605DD4">
        <w:rPr>
          <w:rFonts w:ascii="Arial" w:eastAsia="Times New Roman" w:hAnsi="Arial" w:cs="Arial"/>
          <w:color w:val="000000"/>
          <w:sz w:val="28"/>
          <w:szCs w:val="28"/>
          <w:lang w:eastAsia="en-IN"/>
        </w:rPr>
        <w:t>The net profit ratio has a decreasing trend. COGS and Operating costs per unit are more or less constant. However, profit per unit is reducing due to growth in employee costs.</w:t>
      </w:r>
    </w:p>
    <w:p w14:paraId="1FA523C5" w14:textId="77777777" w:rsidR="00605DD4" w:rsidRDefault="00605DD4" w:rsidP="00F15705">
      <w:pPr>
        <w:spacing w:after="0" w:line="240" w:lineRule="auto"/>
        <w:rPr>
          <w:rFonts w:ascii="Arial" w:eastAsia="Times New Roman" w:hAnsi="Arial" w:cs="Arial"/>
          <w:color w:val="000000"/>
          <w:sz w:val="28"/>
          <w:szCs w:val="28"/>
          <w:lang w:eastAsia="en-IN"/>
        </w:rPr>
      </w:pPr>
    </w:p>
    <w:p w14:paraId="23B59921" w14:textId="346BE9C6" w:rsidR="00F15705" w:rsidRDefault="00F15705" w:rsidP="00F15705">
      <w:pPr>
        <w:spacing w:after="0" w:line="240" w:lineRule="auto"/>
        <w:rPr>
          <w:rFonts w:ascii="Arial" w:eastAsia="Times New Roman" w:hAnsi="Arial" w:cs="Arial"/>
          <w:b/>
          <w:bCs/>
          <w:color w:val="000000"/>
          <w:sz w:val="30"/>
          <w:szCs w:val="30"/>
          <w:lang w:eastAsia="en-IN"/>
        </w:rPr>
      </w:pPr>
      <w:r>
        <w:rPr>
          <w:noProof/>
        </w:rPr>
        <w:drawing>
          <wp:inline distT="0" distB="0" distL="0" distR="0" wp14:anchorId="45EC398E" wp14:editId="57B167D1">
            <wp:extent cx="4286250" cy="2203450"/>
            <wp:effectExtent l="0" t="0" r="0" b="6350"/>
            <wp:docPr id="4" name="Chart 4">
              <a:extLst xmlns:a="http://schemas.openxmlformats.org/drawingml/2006/main">
                <a:ext uri="{FF2B5EF4-FFF2-40B4-BE49-F238E27FC236}">
                  <a16:creationId xmlns:a16="http://schemas.microsoft.com/office/drawing/2014/main" id="{220157D7-B624-4C8F-BC32-DF31FA4CB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F42D9E" w14:textId="7486D452" w:rsidR="009707DF" w:rsidRDefault="009707DF" w:rsidP="00F15705">
      <w:pPr>
        <w:spacing w:after="0" w:line="240" w:lineRule="auto"/>
        <w:rPr>
          <w:rFonts w:ascii="Arial" w:eastAsia="Times New Roman" w:hAnsi="Arial" w:cs="Arial"/>
          <w:b/>
          <w:bCs/>
          <w:color w:val="000000"/>
          <w:sz w:val="30"/>
          <w:szCs w:val="30"/>
          <w:lang w:eastAsia="en-IN"/>
        </w:rPr>
      </w:pPr>
    </w:p>
    <w:p w14:paraId="738C4A64" w14:textId="14449280" w:rsidR="009707DF" w:rsidRDefault="009707DF" w:rsidP="00F15705">
      <w:pPr>
        <w:spacing w:after="0" w:line="240" w:lineRule="auto"/>
        <w:rPr>
          <w:rFonts w:ascii="Arial" w:eastAsia="Times New Roman" w:hAnsi="Arial" w:cs="Arial"/>
          <w:b/>
          <w:bCs/>
          <w:color w:val="000000"/>
          <w:sz w:val="30"/>
          <w:szCs w:val="30"/>
          <w:lang w:eastAsia="en-IN"/>
        </w:rPr>
      </w:pPr>
      <w:r>
        <w:rPr>
          <w:rFonts w:ascii="Arial" w:eastAsia="Times New Roman" w:hAnsi="Arial" w:cs="Arial"/>
          <w:b/>
          <w:bCs/>
          <w:color w:val="000000"/>
          <w:sz w:val="30"/>
          <w:szCs w:val="30"/>
          <w:lang w:eastAsia="en-IN"/>
        </w:rPr>
        <w:t>Analysis:</w:t>
      </w:r>
    </w:p>
    <w:p w14:paraId="2999E382" w14:textId="635B0C08" w:rsidR="009707DF" w:rsidRPr="009707DF" w:rsidRDefault="00605DD4" w:rsidP="009707DF">
      <w:pPr>
        <w:spacing w:after="0" w:line="240" w:lineRule="auto"/>
        <w:rPr>
          <w:rFonts w:ascii="Arial" w:eastAsia="Times New Roman" w:hAnsi="Arial" w:cs="Arial"/>
          <w:color w:val="000000"/>
          <w:sz w:val="28"/>
          <w:szCs w:val="28"/>
          <w:lang w:eastAsia="en-IN"/>
        </w:rPr>
      </w:pPr>
      <w:r w:rsidRPr="00605DD4">
        <w:rPr>
          <w:rFonts w:ascii="Arial" w:eastAsia="Times New Roman" w:hAnsi="Arial" w:cs="Arial"/>
          <w:color w:val="000000"/>
          <w:sz w:val="28"/>
          <w:szCs w:val="28"/>
          <w:lang w:eastAsia="en-IN"/>
        </w:rPr>
        <w:t>The current ratio is decreasing due to decreasing current liabilities. It implies that the company has sufficient current assets to cover the current liabilities.</w:t>
      </w:r>
    </w:p>
    <w:p w14:paraId="25B4F93D" w14:textId="6F6BAE42" w:rsidR="009707DF" w:rsidRDefault="009707DF" w:rsidP="00F15705">
      <w:pPr>
        <w:spacing w:after="0" w:line="240" w:lineRule="auto"/>
        <w:rPr>
          <w:rFonts w:ascii="Arial" w:eastAsia="Times New Roman" w:hAnsi="Arial" w:cs="Arial"/>
          <w:b/>
          <w:bCs/>
          <w:color w:val="000000"/>
          <w:sz w:val="28"/>
          <w:szCs w:val="28"/>
          <w:lang w:eastAsia="en-IN"/>
        </w:rPr>
      </w:pPr>
    </w:p>
    <w:p w14:paraId="11091623" w14:textId="0FB9CDCB" w:rsidR="009707DF" w:rsidRDefault="009707DF" w:rsidP="00F15705">
      <w:pPr>
        <w:spacing w:after="0" w:line="240" w:lineRule="auto"/>
        <w:rPr>
          <w:rFonts w:ascii="Arial" w:eastAsia="Times New Roman" w:hAnsi="Arial" w:cs="Arial"/>
          <w:b/>
          <w:bCs/>
          <w:color w:val="000000"/>
          <w:sz w:val="28"/>
          <w:szCs w:val="28"/>
          <w:lang w:eastAsia="en-IN"/>
        </w:rPr>
      </w:pPr>
      <w:r>
        <w:rPr>
          <w:noProof/>
        </w:rPr>
        <w:lastRenderedPageBreak/>
        <w:drawing>
          <wp:inline distT="0" distB="0" distL="0" distR="0" wp14:anchorId="1496A917" wp14:editId="342937AC">
            <wp:extent cx="4356100" cy="2190750"/>
            <wp:effectExtent l="0" t="0" r="6350" b="0"/>
            <wp:docPr id="5" name="Chart 5">
              <a:extLst xmlns:a="http://schemas.openxmlformats.org/drawingml/2006/main">
                <a:ext uri="{FF2B5EF4-FFF2-40B4-BE49-F238E27FC236}">
                  <a16:creationId xmlns:a16="http://schemas.microsoft.com/office/drawing/2014/main" id="{1510AC0C-4BEC-47F7-9A9B-92F2D800D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1896DF" w14:textId="63F85F97" w:rsidR="009707DF" w:rsidRDefault="009707DF" w:rsidP="00F15705">
      <w:pPr>
        <w:spacing w:after="0" w:line="240" w:lineRule="auto"/>
        <w:rPr>
          <w:rFonts w:ascii="Arial" w:eastAsia="Times New Roman" w:hAnsi="Arial" w:cs="Arial"/>
          <w:b/>
          <w:bCs/>
          <w:color w:val="000000"/>
          <w:sz w:val="28"/>
          <w:szCs w:val="28"/>
          <w:lang w:eastAsia="en-IN"/>
        </w:rPr>
      </w:pPr>
    </w:p>
    <w:p w14:paraId="4A780988" w14:textId="647B57EF" w:rsidR="009707DF" w:rsidRDefault="009707DF" w:rsidP="00F15705">
      <w:pPr>
        <w:spacing w:after="0" w:line="240" w:lineRule="auto"/>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Analysis:</w:t>
      </w:r>
    </w:p>
    <w:p w14:paraId="6AE94B0E" w14:textId="593D6B50" w:rsidR="009707DF" w:rsidRDefault="00605DD4" w:rsidP="00605DD4">
      <w:pPr>
        <w:spacing w:after="0" w:line="240" w:lineRule="auto"/>
        <w:rPr>
          <w:rFonts w:ascii="Arial" w:eastAsia="Times New Roman" w:hAnsi="Arial" w:cs="Arial"/>
          <w:color w:val="000000"/>
          <w:sz w:val="28"/>
          <w:szCs w:val="28"/>
          <w:lang w:eastAsia="en-IN"/>
        </w:rPr>
      </w:pPr>
      <w:r w:rsidRPr="00605DD4">
        <w:rPr>
          <w:rFonts w:ascii="Arial" w:eastAsia="Times New Roman" w:hAnsi="Arial" w:cs="Arial"/>
          <w:color w:val="000000"/>
          <w:sz w:val="28"/>
          <w:szCs w:val="28"/>
          <w:lang w:eastAsia="en-IN"/>
        </w:rPr>
        <w:t>The debt to equity ratio is less. It implies that the leverage of the company is less. Therefore, the company has less fixed commitments of principal and interest. Therefore, it has less risk.</w:t>
      </w:r>
    </w:p>
    <w:p w14:paraId="244AB72D" w14:textId="77777777" w:rsidR="00605DD4" w:rsidRPr="009707DF" w:rsidRDefault="00605DD4" w:rsidP="00605DD4">
      <w:pPr>
        <w:spacing w:after="0" w:line="240" w:lineRule="auto"/>
        <w:rPr>
          <w:rFonts w:ascii="Arial" w:eastAsia="Times New Roman" w:hAnsi="Arial" w:cs="Arial"/>
          <w:b/>
          <w:bCs/>
          <w:color w:val="000000"/>
          <w:sz w:val="28"/>
          <w:szCs w:val="28"/>
          <w:lang w:eastAsia="en-IN"/>
        </w:rPr>
      </w:pPr>
    </w:p>
    <w:sectPr w:rsidR="00605DD4" w:rsidRPr="00970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45"/>
    <w:rsid w:val="00061D11"/>
    <w:rsid w:val="002F280A"/>
    <w:rsid w:val="00357345"/>
    <w:rsid w:val="005B3108"/>
    <w:rsid w:val="00605DD4"/>
    <w:rsid w:val="00781E71"/>
    <w:rsid w:val="007A5625"/>
    <w:rsid w:val="007C3F92"/>
    <w:rsid w:val="007C549C"/>
    <w:rsid w:val="009707DF"/>
    <w:rsid w:val="00A14F7E"/>
    <w:rsid w:val="00AB0109"/>
    <w:rsid w:val="00D87921"/>
    <w:rsid w:val="00F111DF"/>
    <w:rsid w:val="00F15705"/>
    <w:rsid w:val="00F27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D466"/>
  <w15:chartTrackingRefBased/>
  <w15:docId w15:val="{487BE1E8-E16C-407D-AD1C-EAF432DF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3F92"/>
    <w:rPr>
      <w:color w:val="0000FF"/>
      <w:u w:val="single"/>
    </w:rPr>
  </w:style>
  <w:style w:type="character" w:customStyle="1" w:styleId="nowrap">
    <w:name w:val="nowrap"/>
    <w:basedOn w:val="DefaultParagraphFont"/>
    <w:rsid w:val="007C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7617">
      <w:bodyDiv w:val="1"/>
      <w:marLeft w:val="0"/>
      <w:marRight w:val="0"/>
      <w:marTop w:val="0"/>
      <w:marBottom w:val="0"/>
      <w:divBdr>
        <w:top w:val="none" w:sz="0" w:space="0" w:color="auto"/>
        <w:left w:val="none" w:sz="0" w:space="0" w:color="auto"/>
        <w:bottom w:val="none" w:sz="0" w:space="0" w:color="auto"/>
        <w:right w:val="none" w:sz="0" w:space="0" w:color="auto"/>
      </w:divBdr>
    </w:div>
    <w:div w:id="171381371">
      <w:bodyDiv w:val="1"/>
      <w:marLeft w:val="0"/>
      <w:marRight w:val="0"/>
      <w:marTop w:val="0"/>
      <w:marBottom w:val="0"/>
      <w:divBdr>
        <w:top w:val="none" w:sz="0" w:space="0" w:color="auto"/>
        <w:left w:val="none" w:sz="0" w:space="0" w:color="auto"/>
        <w:bottom w:val="none" w:sz="0" w:space="0" w:color="auto"/>
        <w:right w:val="none" w:sz="0" w:space="0" w:color="auto"/>
      </w:divBdr>
    </w:div>
    <w:div w:id="345639537">
      <w:bodyDiv w:val="1"/>
      <w:marLeft w:val="0"/>
      <w:marRight w:val="0"/>
      <w:marTop w:val="0"/>
      <w:marBottom w:val="0"/>
      <w:divBdr>
        <w:top w:val="none" w:sz="0" w:space="0" w:color="auto"/>
        <w:left w:val="none" w:sz="0" w:space="0" w:color="auto"/>
        <w:bottom w:val="none" w:sz="0" w:space="0" w:color="auto"/>
        <w:right w:val="none" w:sz="0" w:space="0" w:color="auto"/>
      </w:divBdr>
    </w:div>
    <w:div w:id="377243680">
      <w:bodyDiv w:val="1"/>
      <w:marLeft w:val="0"/>
      <w:marRight w:val="0"/>
      <w:marTop w:val="0"/>
      <w:marBottom w:val="0"/>
      <w:divBdr>
        <w:top w:val="none" w:sz="0" w:space="0" w:color="auto"/>
        <w:left w:val="none" w:sz="0" w:space="0" w:color="auto"/>
        <w:bottom w:val="none" w:sz="0" w:space="0" w:color="auto"/>
        <w:right w:val="none" w:sz="0" w:space="0" w:color="auto"/>
      </w:divBdr>
    </w:div>
    <w:div w:id="579409291">
      <w:bodyDiv w:val="1"/>
      <w:marLeft w:val="0"/>
      <w:marRight w:val="0"/>
      <w:marTop w:val="0"/>
      <w:marBottom w:val="0"/>
      <w:divBdr>
        <w:top w:val="none" w:sz="0" w:space="0" w:color="auto"/>
        <w:left w:val="none" w:sz="0" w:space="0" w:color="auto"/>
        <w:bottom w:val="none" w:sz="0" w:space="0" w:color="auto"/>
        <w:right w:val="none" w:sz="0" w:space="0" w:color="auto"/>
      </w:divBdr>
    </w:div>
    <w:div w:id="896470983">
      <w:bodyDiv w:val="1"/>
      <w:marLeft w:val="0"/>
      <w:marRight w:val="0"/>
      <w:marTop w:val="0"/>
      <w:marBottom w:val="0"/>
      <w:divBdr>
        <w:top w:val="none" w:sz="0" w:space="0" w:color="auto"/>
        <w:left w:val="none" w:sz="0" w:space="0" w:color="auto"/>
        <w:bottom w:val="none" w:sz="0" w:space="0" w:color="auto"/>
        <w:right w:val="none" w:sz="0" w:space="0" w:color="auto"/>
      </w:divBdr>
    </w:div>
    <w:div w:id="2010516834">
      <w:bodyDiv w:val="1"/>
      <w:marLeft w:val="0"/>
      <w:marRight w:val="0"/>
      <w:marTop w:val="0"/>
      <w:marBottom w:val="0"/>
      <w:divBdr>
        <w:top w:val="none" w:sz="0" w:space="0" w:color="auto"/>
        <w:left w:val="none" w:sz="0" w:space="0" w:color="auto"/>
        <w:bottom w:val="none" w:sz="0" w:space="0" w:color="auto"/>
        <w:right w:val="none" w:sz="0" w:space="0" w:color="auto"/>
      </w:divBdr>
    </w:div>
    <w:div w:id="21183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FA%20Stock\Cipl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ersonal\FA%20Stock\Cipl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ersonal\FA%20Stock\Cipl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ersonal\FA%20Stock\Cipl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ersonal\FA%20Stock\Cipl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136482939632559E-2"/>
          <c:y val="0.15319444444444447"/>
          <c:w val="0.89019685039370078"/>
          <c:h val="0.72088764946048411"/>
        </c:manualLayout>
      </c:layout>
      <c:lineChart>
        <c:grouping val="standard"/>
        <c:varyColors val="0"/>
        <c:ser>
          <c:idx val="0"/>
          <c:order val="0"/>
          <c:tx>
            <c:strRef>
              <c:f>'Key Ratios'!$B$2</c:f>
              <c:strCache>
                <c:ptCount val="1"/>
                <c:pt idx="0">
                  <c:v>Book Value Per Share Annual Rs</c:v>
                </c:pt>
              </c:strCache>
            </c:strRef>
          </c:tx>
          <c:spPr>
            <a:ln w="28575" cap="rnd">
              <a:solidFill>
                <a:schemeClr val="accent1"/>
              </a:solidFill>
              <a:round/>
            </a:ln>
            <a:effectLst/>
          </c:spPr>
          <c:marker>
            <c:symbol val="none"/>
          </c:marker>
          <c:cat>
            <c:strRef>
              <c:f>'Key Ratios'!$C$1:$G$1</c:f>
              <c:strCache>
                <c:ptCount val="5"/>
                <c:pt idx="0">
                  <c:v>2014-15</c:v>
                </c:pt>
                <c:pt idx="1">
                  <c:v>2015-16</c:v>
                </c:pt>
                <c:pt idx="2">
                  <c:v>2016-17</c:v>
                </c:pt>
                <c:pt idx="3">
                  <c:v>2017-18</c:v>
                </c:pt>
                <c:pt idx="4">
                  <c:v>2018-19</c:v>
                </c:pt>
              </c:strCache>
            </c:strRef>
          </c:cat>
          <c:val>
            <c:numRef>
              <c:f>'Key Ratios'!$C$2:$G$2</c:f>
              <c:numCache>
                <c:formatCode>General</c:formatCode>
                <c:ptCount val="5"/>
                <c:pt idx="0">
                  <c:v>136.5</c:v>
                </c:pt>
                <c:pt idx="1">
                  <c:v>147.69999999999999</c:v>
                </c:pt>
                <c:pt idx="2">
                  <c:v>161.4</c:v>
                </c:pt>
                <c:pt idx="3">
                  <c:v>181.1</c:v>
                </c:pt>
                <c:pt idx="4">
                  <c:v>190.4</c:v>
                </c:pt>
              </c:numCache>
            </c:numRef>
          </c:val>
          <c:smooth val="0"/>
          <c:extLst>
            <c:ext xmlns:c16="http://schemas.microsoft.com/office/drawing/2014/chart" uri="{C3380CC4-5D6E-409C-BE32-E72D297353CC}">
              <c16:uniqueId val="{00000000-0A19-492A-B5E8-782E21D03FEC}"/>
            </c:ext>
          </c:extLst>
        </c:ser>
        <c:dLbls>
          <c:showLegendKey val="0"/>
          <c:showVal val="0"/>
          <c:showCatName val="0"/>
          <c:showSerName val="0"/>
          <c:showPercent val="0"/>
          <c:showBubbleSize val="0"/>
        </c:dLbls>
        <c:smooth val="0"/>
        <c:axId val="1563332895"/>
        <c:axId val="1508837167"/>
      </c:lineChart>
      <c:catAx>
        <c:axId val="156333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837167"/>
        <c:crosses val="autoZero"/>
        <c:auto val="1"/>
        <c:lblAlgn val="ctr"/>
        <c:lblOffset val="100"/>
        <c:noMultiLvlLbl val="0"/>
      </c:catAx>
      <c:valAx>
        <c:axId val="1508837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33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'Key Ratios'!$B$4</c:f>
              <c:strCache>
                <c:ptCount val="1"/>
                <c:pt idx="0">
                  <c:v>ROCE Annual %</c:v>
                </c:pt>
              </c:strCache>
            </c:strRef>
          </c:tx>
          <c:spPr>
            <a:ln w="28575" cap="rnd">
              <a:solidFill>
                <a:schemeClr val="accent1"/>
              </a:solidFill>
              <a:round/>
            </a:ln>
            <a:effectLst/>
          </c:spPr>
          <c:marker>
            <c:symbol val="none"/>
          </c:marker>
          <c:cat>
            <c:strRef>
              <c:f>'Key Ratios'!$C$3:$G$3</c:f>
              <c:strCache>
                <c:ptCount val="5"/>
                <c:pt idx="0">
                  <c:v>2014-15</c:v>
                </c:pt>
                <c:pt idx="1">
                  <c:v>2015-16</c:v>
                </c:pt>
                <c:pt idx="2">
                  <c:v>2016-17</c:v>
                </c:pt>
                <c:pt idx="3">
                  <c:v>2017-18</c:v>
                </c:pt>
                <c:pt idx="4">
                  <c:v>2018-19</c:v>
                </c:pt>
              </c:strCache>
            </c:strRef>
          </c:cat>
          <c:val>
            <c:numRef>
              <c:f>'Key Ratios'!$C$4:$G$4</c:f>
              <c:numCache>
                <c:formatCode>General</c:formatCode>
                <c:ptCount val="5"/>
                <c:pt idx="0">
                  <c:v>0.15409999999999999</c:v>
                </c:pt>
                <c:pt idx="1">
                  <c:v>0.14480000000000001</c:v>
                </c:pt>
                <c:pt idx="2">
                  <c:v>7.8200000000000006E-2</c:v>
                </c:pt>
                <c:pt idx="3">
                  <c:v>9.7799999999999998E-2</c:v>
                </c:pt>
                <c:pt idx="4">
                  <c:v>0.1113</c:v>
                </c:pt>
              </c:numCache>
            </c:numRef>
          </c:val>
          <c:smooth val="0"/>
          <c:extLst>
            <c:ext xmlns:c16="http://schemas.microsoft.com/office/drawing/2014/chart" uri="{C3380CC4-5D6E-409C-BE32-E72D297353CC}">
              <c16:uniqueId val="{00000000-B401-4F02-8F43-CFF75F766899}"/>
            </c:ext>
          </c:extLst>
        </c:ser>
        <c:dLbls>
          <c:showLegendKey val="0"/>
          <c:showVal val="0"/>
          <c:showCatName val="0"/>
          <c:showSerName val="0"/>
          <c:showPercent val="0"/>
          <c:showBubbleSize val="0"/>
        </c:dLbls>
        <c:smooth val="0"/>
        <c:axId val="1563172943"/>
        <c:axId val="1565019759"/>
      </c:lineChart>
      <c:catAx>
        <c:axId val="1563172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19759"/>
        <c:crosses val="autoZero"/>
        <c:auto val="1"/>
        <c:lblAlgn val="ctr"/>
        <c:lblOffset val="100"/>
        <c:noMultiLvlLbl val="0"/>
      </c:catAx>
      <c:valAx>
        <c:axId val="1565019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172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'Key Ratios'!$B$6</c:f>
              <c:strCache>
                <c:ptCount val="1"/>
                <c:pt idx="0">
                  <c:v>Net Profit Margin Annual %</c:v>
                </c:pt>
              </c:strCache>
            </c:strRef>
          </c:tx>
          <c:spPr>
            <a:ln w="28575" cap="rnd">
              <a:solidFill>
                <a:schemeClr val="accent1"/>
              </a:solidFill>
              <a:round/>
            </a:ln>
            <a:effectLst/>
          </c:spPr>
          <c:marker>
            <c:symbol val="none"/>
          </c:marker>
          <c:cat>
            <c:strRef>
              <c:f>'Key Ratios'!$C$5:$G$5</c:f>
              <c:strCache>
                <c:ptCount val="5"/>
                <c:pt idx="0">
                  <c:v>2014-15</c:v>
                </c:pt>
                <c:pt idx="1">
                  <c:v>2015-16</c:v>
                </c:pt>
                <c:pt idx="2">
                  <c:v>2016-17</c:v>
                </c:pt>
                <c:pt idx="3">
                  <c:v>2017-18</c:v>
                </c:pt>
                <c:pt idx="4">
                  <c:v>2018-19</c:v>
                </c:pt>
              </c:strCache>
            </c:strRef>
          </c:cat>
          <c:val>
            <c:numRef>
              <c:f>'Key Ratios'!$C$6:$G$6</c:f>
              <c:numCache>
                <c:formatCode>General</c:formatCode>
                <c:ptCount val="5"/>
                <c:pt idx="0">
                  <c:v>0.1105</c:v>
                </c:pt>
                <c:pt idx="1">
                  <c:v>0.1011</c:v>
                </c:pt>
                <c:pt idx="2">
                  <c:v>7.2400000000000006E-2</c:v>
                </c:pt>
                <c:pt idx="3">
                  <c:v>9.3600000000000003E-2</c:v>
                </c:pt>
                <c:pt idx="4">
                  <c:v>9.2200000000000004E-2</c:v>
                </c:pt>
              </c:numCache>
            </c:numRef>
          </c:val>
          <c:smooth val="0"/>
          <c:extLst>
            <c:ext xmlns:c16="http://schemas.microsoft.com/office/drawing/2014/chart" uri="{C3380CC4-5D6E-409C-BE32-E72D297353CC}">
              <c16:uniqueId val="{00000000-9A2B-45AF-B286-EF84AD2A9A51}"/>
            </c:ext>
          </c:extLst>
        </c:ser>
        <c:dLbls>
          <c:showLegendKey val="0"/>
          <c:showVal val="0"/>
          <c:showCatName val="0"/>
          <c:showSerName val="0"/>
          <c:showPercent val="0"/>
          <c:showBubbleSize val="0"/>
        </c:dLbls>
        <c:smooth val="0"/>
        <c:axId val="1570739183"/>
        <c:axId val="1565010191"/>
      </c:lineChart>
      <c:catAx>
        <c:axId val="157073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10191"/>
        <c:crosses val="autoZero"/>
        <c:auto val="1"/>
        <c:lblAlgn val="ctr"/>
        <c:lblOffset val="100"/>
        <c:noMultiLvlLbl val="0"/>
      </c:catAx>
      <c:valAx>
        <c:axId val="1565010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73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'Key Ratios'!$B$8</c:f>
              <c:strCache>
                <c:ptCount val="1"/>
                <c:pt idx="0">
                  <c:v>Current Ratio Annual</c:v>
                </c:pt>
              </c:strCache>
            </c:strRef>
          </c:tx>
          <c:spPr>
            <a:ln w="28575" cap="rnd">
              <a:solidFill>
                <a:schemeClr val="accent1"/>
              </a:solidFill>
              <a:round/>
            </a:ln>
            <a:effectLst/>
          </c:spPr>
          <c:marker>
            <c:symbol val="none"/>
          </c:marker>
          <c:cat>
            <c:strRef>
              <c:f>'Key Ratios'!$C$7:$G$7</c:f>
              <c:strCache>
                <c:ptCount val="5"/>
                <c:pt idx="0">
                  <c:v>2014-15</c:v>
                </c:pt>
                <c:pt idx="1">
                  <c:v>2015-16</c:v>
                </c:pt>
                <c:pt idx="2">
                  <c:v>2016-17</c:v>
                </c:pt>
                <c:pt idx="3">
                  <c:v>2017-18</c:v>
                </c:pt>
                <c:pt idx="4">
                  <c:v>2018-19</c:v>
                </c:pt>
              </c:strCache>
            </c:strRef>
          </c:cat>
          <c:val>
            <c:numRef>
              <c:f>'Key Ratios'!$C$8:$G$8</c:f>
              <c:numCache>
                <c:formatCode>General</c:formatCode>
                <c:ptCount val="5"/>
                <c:pt idx="0">
                  <c:v>1.9</c:v>
                </c:pt>
                <c:pt idx="1">
                  <c:v>1.1000000000000001</c:v>
                </c:pt>
                <c:pt idx="2">
                  <c:v>2.6</c:v>
                </c:pt>
                <c:pt idx="3">
                  <c:v>2.8</c:v>
                </c:pt>
                <c:pt idx="4">
                  <c:v>3.3</c:v>
                </c:pt>
              </c:numCache>
            </c:numRef>
          </c:val>
          <c:smooth val="0"/>
          <c:extLst>
            <c:ext xmlns:c16="http://schemas.microsoft.com/office/drawing/2014/chart" uri="{C3380CC4-5D6E-409C-BE32-E72D297353CC}">
              <c16:uniqueId val="{00000000-A056-4F33-AF7D-0C1074355BA7}"/>
            </c:ext>
          </c:extLst>
        </c:ser>
        <c:dLbls>
          <c:showLegendKey val="0"/>
          <c:showVal val="0"/>
          <c:showCatName val="0"/>
          <c:showSerName val="0"/>
          <c:showPercent val="0"/>
          <c:showBubbleSize val="0"/>
        </c:dLbls>
        <c:smooth val="0"/>
        <c:axId val="1391482335"/>
        <c:axId val="1565009775"/>
      </c:lineChart>
      <c:catAx>
        <c:axId val="1391482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09775"/>
        <c:crosses val="autoZero"/>
        <c:auto val="1"/>
        <c:lblAlgn val="ctr"/>
        <c:lblOffset val="100"/>
        <c:noMultiLvlLbl val="0"/>
      </c:catAx>
      <c:valAx>
        <c:axId val="1565009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482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'Key Ratios'!$B$10</c:f>
              <c:strCache>
                <c:ptCount val="1"/>
                <c:pt idx="0">
                  <c:v>Total Debt to Total Equity Annual</c:v>
                </c:pt>
              </c:strCache>
            </c:strRef>
          </c:tx>
          <c:spPr>
            <a:ln w="28575" cap="rnd">
              <a:solidFill>
                <a:schemeClr val="accent1"/>
              </a:solidFill>
              <a:round/>
            </a:ln>
            <a:effectLst/>
          </c:spPr>
          <c:marker>
            <c:symbol val="none"/>
          </c:marker>
          <c:cat>
            <c:strRef>
              <c:f>'Key Ratios'!$C$9:$G$9</c:f>
              <c:strCache>
                <c:ptCount val="5"/>
                <c:pt idx="0">
                  <c:v>2014-15</c:v>
                </c:pt>
                <c:pt idx="1">
                  <c:v>2015-16</c:v>
                </c:pt>
                <c:pt idx="2">
                  <c:v>2016-17</c:v>
                </c:pt>
                <c:pt idx="3">
                  <c:v>2017-18</c:v>
                </c:pt>
                <c:pt idx="4">
                  <c:v>2018-19</c:v>
                </c:pt>
              </c:strCache>
            </c:strRef>
          </c:cat>
          <c:val>
            <c:numRef>
              <c:f>'Key Ratios'!$C$10:$G$10</c:f>
              <c:numCache>
                <c:formatCode>_ * #,##0.000_ ;_ * \-#,##0.000_ ;_ * "-"??_ ;_ @_ </c:formatCode>
                <c:ptCount val="5"/>
                <c:pt idx="0">
                  <c:v>3.3845282585312164E-2</c:v>
                </c:pt>
                <c:pt idx="1">
                  <c:v>2.4315035597472612E-2</c:v>
                </c:pt>
                <c:pt idx="2">
                  <c:v>1.922247362158358E-2</c:v>
                </c:pt>
                <c:pt idx="3">
                  <c:v>1.7388101734493566E-2</c:v>
                </c:pt>
                <c:pt idx="4">
                  <c:v>1.6748147903553279E-2</c:v>
                </c:pt>
              </c:numCache>
            </c:numRef>
          </c:val>
          <c:smooth val="0"/>
          <c:extLst>
            <c:ext xmlns:c16="http://schemas.microsoft.com/office/drawing/2014/chart" uri="{C3380CC4-5D6E-409C-BE32-E72D297353CC}">
              <c16:uniqueId val="{00000000-85A5-4158-A854-F4A5E853CE68}"/>
            </c:ext>
          </c:extLst>
        </c:ser>
        <c:dLbls>
          <c:showLegendKey val="0"/>
          <c:showVal val="0"/>
          <c:showCatName val="0"/>
          <c:showSerName val="0"/>
          <c:showPercent val="0"/>
          <c:showBubbleSize val="0"/>
        </c:dLbls>
        <c:smooth val="0"/>
        <c:axId val="1500129247"/>
        <c:axId val="1565001871"/>
      </c:lineChart>
      <c:catAx>
        <c:axId val="1500129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01871"/>
        <c:crosses val="autoZero"/>
        <c:auto val="1"/>
        <c:lblAlgn val="ctr"/>
        <c:lblOffset val="100"/>
        <c:noMultiLvlLbl val="0"/>
      </c:catAx>
      <c:valAx>
        <c:axId val="1565001871"/>
        <c:scaling>
          <c:orientation val="minMax"/>
        </c:scaling>
        <c:delete val="0"/>
        <c:axPos val="l"/>
        <c:majorGridlines>
          <c:spPr>
            <a:ln w="9525" cap="flat" cmpd="sng" algn="ctr">
              <a:solidFill>
                <a:schemeClr val="tx1">
                  <a:lumMod val="15000"/>
                  <a:lumOff val="85000"/>
                </a:schemeClr>
              </a:solidFill>
              <a:round/>
            </a:ln>
            <a:effectLst/>
          </c:spPr>
        </c:majorGridlines>
        <c:numFmt formatCode="_ * #,##0.000_ ;_ * \-#,##0.000_ ;_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129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Desai</dc:creator>
  <cp:keywords/>
  <dc:description/>
  <cp:lastModifiedBy>Kuntal Desai</cp:lastModifiedBy>
  <cp:revision>9</cp:revision>
  <dcterms:created xsi:type="dcterms:W3CDTF">2020-06-25T09:08:00Z</dcterms:created>
  <dcterms:modified xsi:type="dcterms:W3CDTF">2020-07-14T09:10:00Z</dcterms:modified>
</cp:coreProperties>
</file>