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2E86AB"/>
          <w:sz w:val="28"/>
          <w:szCs w:val="28"/>
        </w:rPr>
        <w:t xml:space="preserve">Codveda Technology</w:t>
      </w:r>
    </w:p>
    <w:p>
      <w:pPr>
        <w:spacing w:after="150"/>
        <w:jc w:val="center"/>
      </w:pPr>
      <w:r>
        <w:rPr>
          <w:b/>
          <w:bCs/>
          <w:sz w:val="44"/>
          <w:szCs w:val="44"/>
        </w:rPr>
        <w:t xml:space="preserve">Level 1 – Basic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Data Cleaning, EDA &amp; Visualization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Data Analytics Internship Program</w:t>
      </w:r>
    </w:p>
    <w:p>
      <w:pPr>
        <w:pageBreakBefore/>
      </w:pPr>
      <w:r>
        <w:br/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This report covers Level 1 (Basic) of the Codveda Technology Data Analytics Internship. Two of the three available tasks were completed: Task 1 (Data Cleaning and Preprocessing) and Task 2 (Exploratory Data Analysis). All code was written in Python using pandas, matplotlib, and seaborn.</w:t>
      </w:r>
    </w:p>
    <w:p>
      <w:pPr>
        <w:pStyle w:val="Heading1"/>
        <w:spacing w:after="150" w:before="300"/>
      </w:pPr>
      <w:r>
        <w:t xml:space="preserve">Task 1: Data Cleaning and Preprocessing</w:t>
      </w:r>
    </w:p>
    <w:p>
      <w:pPr>
        <w:spacing w:after="120"/>
      </w:pPr>
      <w:r>
        <w:t xml:space="preserve">Dataset used: Stock Prices Data Set.csv — historical daily stock prices for 505 symbols (2014–2017), 497,472 rows. The raw file contained missing values in the open/high/low columns and a date field stored as plain text.</w:t>
      </w:r>
    </w:p>
    <w:p>
      <w:pPr>
        <w:pStyle w:val="Heading2"/>
        <w:spacing w:after="120" w:before="25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the dataset using pandas.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and handle missing values (imputation or removal).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duplicate rows and standardize inconsistent data formats (dates, categorical text).</w:t>
      </w:r>
    </w:p>
    <w:p>
      <w:pPr>
        <w:pStyle w:val="Heading2"/>
        <w:spacing w:after="120" w:before="250"/>
      </w:pPr>
      <w:r>
        <w:t xml:space="preserve">Approach</w:t>
      </w:r>
    </w:p>
    <w:p>
      <w:pPr>
        <w:spacing w:after="120"/>
      </w:pPr>
      <w:r>
        <w:t xml:space="preserve">The dataset was sorted by symbol and date, then missing open/high/low values were imputed using forward-fill within each stock symbol group (falling back to backward-fill for any leading gaps) — the standard approach for time-ordered price data, since it carries forward the last known valid price rather than distorting the series with a global mean.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1F3F4" w:val="clear"/>
        <w:spacing w:after="200" w:before="10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df = df.sort_values(["symbol", "date"])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for col in ["open", "high", "low"]: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df[col] = df.groupby("symbol")[col].transform(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    lambda s: s.ffill().bfill()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df = df.drop_duplicates()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df["date"] = pd.to_datetime(df["date"], errors="coerce")</w:t>
      </w:r>
      <w:r>
        <w:br/>
      </w:r>
      <w:r>
        <w:rPr>
          <w:rFonts w:ascii="Consolas" w:cs="Consolas" w:eastAsia="Consolas" w:hAnsi="Consolas"/>
          <w:color w:val="1B4332"/>
          <w:sz w:val="18"/>
          <w:szCs w:val="18"/>
        </w:rPr>
        <w:t xml:space="preserve">df["symbol"] = df["symbol"].astype(str).str.strip().str.upper()</w:t>
      </w:r>
    </w:p>
    <w:p>
      <w:pPr>
        <w:spacing w:after="120"/>
      </w:pPr>
      <w:r>
        <w:t xml:space="preserve">The date column was converted from text to a proper datetime type, the symbol column was standardized (trimmed and upper-cased), and numeric columns were coerced to numeric dtype to catch any hidden formatting issues.</w:t>
      </w:r>
    </w:p>
    <w:p>
      <w:pPr>
        <w:pStyle w:val="Heading2"/>
        <w:spacing w:after="120" w:before="250"/>
      </w:pPr>
      <w:r>
        <w:t xml:space="preserve">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Before Cleaning</w:t>
            </w:r>
          </w:p>
        </w:tc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After Cleaning</w:t>
            </w:r>
          </w:p>
        </w:tc>
      </w:tr>
      <w:tr>
        <w:tc>
          <w:tcPr>
            <w:tcW w:type="dxa" w:w="3000"/>
          </w:tcPr>
          <w:p>
            <w:r>
              <w:t xml:space="preserve">Rows</w:t>
            </w:r>
          </w:p>
        </w:tc>
        <w:tc>
          <w:tcPr>
            <w:tcW w:type="dxa" w:w="3000"/>
          </w:tcPr>
          <w:p>
            <w:r>
              <w:t xml:space="preserve">497,472</w:t>
            </w:r>
          </w:p>
        </w:tc>
        <w:tc>
          <w:tcPr>
            <w:tcW w:type="dxa" w:w="3000"/>
          </w:tcPr>
          <w:p>
            <w:r>
              <w:t xml:space="preserve">497,472</w:t>
            </w:r>
          </w:p>
        </w:tc>
      </w:tr>
      <w:tr>
        <w:tc>
          <w:tcPr>
            <w:tcW w:type="dxa" w:w="3000"/>
          </w:tcPr>
          <w:p>
            <w:r>
              <w:t xml:space="preserve">Missing values (open/high/low)</w:t>
            </w:r>
          </w:p>
        </w:tc>
        <w:tc>
          <w:tcPr>
            <w:tcW w:type="dxa" w:w="3000"/>
          </w:tcPr>
          <w:p>
            <w:r>
              <w:t xml:space="preserve">27</w:t>
            </w:r>
          </w:p>
        </w:tc>
        <w:tc>
          <w:tcPr>
            <w:tcW w:type="dxa" w:w="3000"/>
          </w:tcPr>
          <w:p>
            <w:r>
              <w:t xml:space="preserve">0</w:t>
            </w:r>
          </w:p>
        </w:tc>
      </w:tr>
      <w:tr>
        <w:tc>
          <w:tcPr>
            <w:tcW w:type="dxa" w:w="3000"/>
          </w:tcPr>
          <w:p>
            <w:r>
              <w:t xml:space="preserve">Duplicate rows</w:t>
            </w:r>
          </w:p>
        </w:tc>
        <w:tc>
          <w:tcPr>
            <w:tcW w:type="dxa" w:w="3000"/>
          </w:tcPr>
          <w:p>
            <w:r>
              <w:t xml:space="preserve">0</w:t>
            </w:r>
          </w:p>
        </w:tc>
        <w:tc>
          <w:tcPr>
            <w:tcW w:type="dxa" w:w="3000"/>
          </w:tcPr>
          <w:p>
            <w:r>
              <w:t xml:space="preserve">0</w:t>
            </w:r>
          </w:p>
        </w:tc>
      </w:tr>
      <w:tr>
        <w:tc>
          <w:tcPr>
            <w:tcW w:type="dxa" w:w="3000"/>
          </w:tcPr>
          <w:p>
            <w:r>
              <w:t xml:space="preserve">Date column type</w:t>
            </w:r>
          </w:p>
        </w:tc>
        <w:tc>
          <w:tcPr>
            <w:tcW w:type="dxa" w:w="3000"/>
          </w:tcPr>
          <w:p>
            <w:r>
              <w:t xml:space="preserve">text (string)</w:t>
            </w:r>
          </w:p>
        </w:tc>
        <w:tc>
          <w:tcPr>
            <w:tcW w:type="dxa" w:w="3000"/>
          </w:tcPr>
          <w:p>
            <w:r>
              <w:t xml:space="preserve">datetime64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 data-quality check also flagged 1 row where the daily high price was lower than the low price — an inconsistency worth flagging to the data owner rather than silently altering. The cleaned dataset was exported as stock_prices_cleaned.csv for downstream analysis.</w:t>
      </w:r>
    </w:p>
    <w:p>
      <w:pPr>
        <w:pStyle w:val="Heading1"/>
        <w:spacing w:after="150" w:before="300"/>
      </w:pPr>
      <w:r>
        <w:t xml:space="preserve">Task 2: Exploratory Data Analysis (EDA)</w:t>
      </w:r>
    </w:p>
    <w:p>
      <w:pPr>
        <w:spacing w:after="120"/>
      </w:pPr>
      <w:r>
        <w:t xml:space="preserve">Dataset used: House Prediction Data Set.csv — the classic Boston Housing dataset (506 records, 13 features + target MEDV, the median home value in $1000s).</w:t>
      </w:r>
    </w:p>
    <w:p>
      <w:pPr>
        <w:pStyle w:val="Heading2"/>
        <w:spacing w:after="120" w:before="25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Calculate summary statistics (mean, median, mode, standard deviation).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Visualize data distributions using histograms, boxplots, and scatter plots.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correlations between numerical features.</w:t>
      </w:r>
    </w:p>
    <w:p>
      <w:pPr>
        <w:pStyle w:val="Heading2"/>
        <w:spacing w:after="120" w:before="250"/>
      </w:pPr>
      <w:r>
        <w:t xml:space="preserve">Summary Statistics (selected variables)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Mean</w:t>
            </w:r>
          </w:p>
        </w:tc>
        <w:tc>
          <w:tcPr>
            <w:tcW w:type="dxa" w:w="1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Median</w:t>
            </w:r>
          </w:p>
        </w:tc>
        <w:tc>
          <w:tcPr>
            <w:tcW w:type="dxa" w:w="1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Std Dev</w:t>
            </w:r>
          </w:p>
        </w:tc>
        <w:tc>
          <w:tcPr>
            <w:tcW w:type="dxa" w:w="1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Min</w:t>
            </w:r>
          </w:p>
        </w:tc>
        <w:tc>
          <w:tcPr>
            <w:tcW w:type="dxa" w:w="1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Max</w:t>
            </w:r>
          </w:p>
        </w:tc>
      </w:tr>
      <w:tr>
        <w:tc>
          <w:tcPr>
            <w:tcW w:type="dxa" w:w="1500"/>
          </w:tcPr>
          <w:p>
            <w:r>
              <w:t xml:space="preserve">MEDV (price, $1000s)</w:t>
            </w:r>
          </w:p>
        </w:tc>
        <w:tc>
          <w:tcPr>
            <w:tcW w:type="dxa" w:w="1500"/>
          </w:tcPr>
          <w:p>
            <w:r>
              <w:t xml:space="preserve">22.53</w:t>
            </w:r>
          </w:p>
        </w:tc>
        <w:tc>
          <w:tcPr>
            <w:tcW w:type="dxa" w:w="1500"/>
          </w:tcPr>
          <w:p>
            <w:r>
              <w:t xml:space="preserve">21.20</w:t>
            </w:r>
          </w:p>
        </w:tc>
        <w:tc>
          <w:tcPr>
            <w:tcW w:type="dxa" w:w="1500"/>
          </w:tcPr>
          <w:p>
            <w:r>
              <w:t xml:space="preserve">9.20</w:t>
            </w:r>
          </w:p>
        </w:tc>
        <w:tc>
          <w:tcPr>
            <w:tcW w:type="dxa" w:w="1500"/>
          </w:tcPr>
          <w:p>
            <w:r>
              <w:t xml:space="preserve">5.00</w:t>
            </w:r>
          </w:p>
        </w:tc>
        <w:tc>
          <w:tcPr>
            <w:tcW w:type="dxa" w:w="1500"/>
          </w:tcPr>
          <w:p>
            <w:r>
              <w:t xml:space="preserve">50.00</w:t>
            </w:r>
          </w:p>
        </w:tc>
      </w:tr>
      <w:tr>
        <w:tc>
          <w:tcPr>
            <w:tcW w:type="dxa" w:w="1500"/>
          </w:tcPr>
          <w:p>
            <w:r>
              <w:t xml:space="preserve">RM (rooms/dwelling)</w:t>
            </w:r>
          </w:p>
        </w:tc>
        <w:tc>
          <w:tcPr>
            <w:tcW w:type="dxa" w:w="1500"/>
          </w:tcPr>
          <w:p>
            <w:r>
              <w:t xml:space="preserve">6.28</w:t>
            </w:r>
          </w:p>
        </w:tc>
        <w:tc>
          <w:tcPr>
            <w:tcW w:type="dxa" w:w="1500"/>
          </w:tcPr>
          <w:p>
            <w:r>
              <w:t xml:space="preserve">6.21</w:t>
            </w:r>
          </w:p>
        </w:tc>
        <w:tc>
          <w:tcPr>
            <w:tcW w:type="dxa" w:w="1500"/>
          </w:tcPr>
          <w:p>
            <w:r>
              <w:t xml:space="preserve">0.70</w:t>
            </w:r>
          </w:p>
        </w:tc>
        <w:tc>
          <w:tcPr>
            <w:tcW w:type="dxa" w:w="1500"/>
          </w:tcPr>
          <w:p>
            <w:r>
              <w:t xml:space="preserve">3.56</w:t>
            </w:r>
          </w:p>
        </w:tc>
        <w:tc>
          <w:tcPr>
            <w:tcW w:type="dxa" w:w="1500"/>
          </w:tcPr>
          <w:p>
            <w:r>
              <w:t xml:space="preserve">8.78</w:t>
            </w:r>
          </w:p>
        </w:tc>
      </w:tr>
      <w:tr>
        <w:tc>
          <w:tcPr>
            <w:tcW w:type="dxa" w:w="1500"/>
          </w:tcPr>
          <w:p>
            <w:r>
              <w:t xml:space="preserve">LSTAT (% lower status pop.)</w:t>
            </w:r>
          </w:p>
        </w:tc>
        <w:tc>
          <w:tcPr>
            <w:tcW w:type="dxa" w:w="1500"/>
          </w:tcPr>
          <w:p>
            <w:r>
              <w:t xml:space="preserve">12.65</w:t>
            </w:r>
          </w:p>
        </w:tc>
        <w:tc>
          <w:tcPr>
            <w:tcW w:type="dxa" w:w="1500"/>
          </w:tcPr>
          <w:p>
            <w:r>
              <w:t xml:space="preserve">11.36</w:t>
            </w:r>
          </w:p>
        </w:tc>
        <w:tc>
          <w:tcPr>
            <w:tcW w:type="dxa" w:w="1500"/>
          </w:tcPr>
          <w:p>
            <w:r>
              <w:t xml:space="preserve">7.14</w:t>
            </w:r>
          </w:p>
        </w:tc>
        <w:tc>
          <w:tcPr>
            <w:tcW w:type="dxa" w:w="1500"/>
          </w:tcPr>
          <w:p>
            <w:r>
              <w:t xml:space="preserve">1.73</w:t>
            </w:r>
          </w:p>
        </w:tc>
        <w:tc>
          <w:tcPr>
            <w:tcW w:type="dxa" w:w="1500"/>
          </w:tcPr>
          <w:p>
            <w:r>
              <w:t xml:space="preserve">37.97</w:t>
            </w:r>
          </w:p>
        </w:tc>
      </w:tr>
      <w:tr>
        <w:tc>
          <w:tcPr>
            <w:tcW w:type="dxa" w:w="1500"/>
          </w:tcPr>
          <w:p>
            <w:r>
              <w:t xml:space="preserve">CRIM (crime rate)</w:t>
            </w:r>
          </w:p>
        </w:tc>
        <w:tc>
          <w:tcPr>
            <w:tcW w:type="dxa" w:w="1500"/>
          </w:tcPr>
          <w:p>
            <w:r>
              <w:t xml:space="preserve">3.61</w:t>
            </w:r>
          </w:p>
        </w:tc>
        <w:tc>
          <w:tcPr>
            <w:tcW w:type="dxa" w:w="1500"/>
          </w:tcPr>
          <w:p>
            <w:r>
              <w:t xml:space="preserve">0.26</w:t>
            </w:r>
          </w:p>
        </w:tc>
        <w:tc>
          <w:tcPr>
            <w:tcW w:type="dxa" w:w="1500"/>
          </w:tcPr>
          <w:p>
            <w:r>
              <w:t xml:space="preserve">8.60</w:t>
            </w:r>
          </w:p>
        </w:tc>
        <w:tc>
          <w:tcPr>
            <w:tcW w:type="dxa" w:w="1500"/>
          </w:tcPr>
          <w:p>
            <w:r>
              <w:t xml:space="preserve">0.006</w:t>
            </w:r>
          </w:p>
        </w:tc>
        <w:tc>
          <w:tcPr>
            <w:tcW w:type="dxa" w:w="1500"/>
          </w:tcPr>
          <w:p>
            <w:r>
              <w:t xml:space="preserve">88.98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Distributions</w:t>
      </w:r>
    </w:p>
    <w:p>
      <w:pPr>
        <w:spacing w:after="20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Distributions of key variables — most are right-skewed (e.g., CRIM), while RM is roughly normal.</w:t>
      </w:r>
    </w:p>
    <w:p>
      <w:pPr>
        <w:spacing w:after="20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Boxplots highlighting outliers, particularly in MEDV (capped at 50) and CRIM (long tail of high-crime areas).</w:t>
      </w:r>
    </w:p>
    <w:p>
      <w:pPr>
        <w:spacing w:after="20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Rooms per dwelling (RM) shows a clear positive relationship with median house value (MEDV).</w:t>
      </w:r>
    </w:p>
    <w:p>
      <w:pPr>
        <w:pStyle w:val="Heading2"/>
        <w:spacing w:after="120" w:before="250"/>
      </w:pPr>
      <w:r>
        <w:t xml:space="preserve">Correlation Analysis</w:t>
      </w:r>
    </w:p>
    <w:p>
      <w:pPr>
        <w:spacing w:after="2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Correlation heatmap across all numeric features.</w:t>
      </w:r>
    </w:p>
    <w:p>
      <w:pPr>
        <w:spacing w:after="120"/>
      </w:pPr>
      <w:r>
        <w:t xml:space="preserve">The features most strongly correlated with house price (MEDV) are: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RM (rooms per dwelling): +0.70 — more rooms, higher price.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LSTAT (% lower-status population): −0.74 — the strongest correlation overall (negative).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PTRATIO (pupil-teacher ratio): −0.51 — neighborhoods with more crowded schools tend to have lower home values.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120"/>
      </w:pPr>
      <w:r>
        <w:t xml:space="preserve">Both Level 1 tasks were completed successfully. The data cleaning task demonstrated handling of missing values, duplicates, and format standardization on a large real-world time series dataset. The EDA task surfaced clear, interpretable relationships in the housing dataset — most notably that room count and neighborhood socioeconomic status are the two strongest predictors of home value, which sets up the regression modeling done in Level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bde5437fe302b07c2d6f87d65a89baf06017e3.png"/><Relationship Id="rId8" Type="http://schemas.openxmlformats.org/officeDocument/2006/relationships/image" Target="media/922e4efe6ff5d8e57be783249cbdae70abcf4910.png"/><Relationship Id="rId9" Type="http://schemas.openxmlformats.org/officeDocument/2006/relationships/image" Target="media/4e99e318b3de7a9659c07fdbdb7959aee1709ce8.png"/><Relationship Id="rId10" Type="http://schemas.openxmlformats.org/officeDocument/2006/relationships/image" Target="media/d3d2c56dcc8eaa771cc94b9af2ed507a9efa947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2026-07-14T06:12:29.298Z</dcterms:created>
  <dcterms:modified xsi:type="dcterms:W3CDTF">2026-07-14T06:12:29.298Z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