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r>
        <w:rPr>
          <w:rFonts w:ascii="Aptos Display" w:hAnsi="Aptos Display"/>
          <w:b/>
          <w:color w:val="14334B"/>
          <w:sz w:val="60"/>
        </w:rPr>
        <w:t>NEWS TRENDING</w:t>
      </w:r>
    </w:p>
    <w:p>
      <w:r>
        <w:rPr>
          <w:color w:val="176B87"/>
          <w:sz w:val="32"/>
        </w:rPr>
        <w:t>How stories are formed, filtered, and ranked</w:t>
      </w:r>
    </w:p>
    <w:p>
      <w:r>
        <w:t>A clear guide to the Trending News page: its score, thresholds, and statistical evidence.</w:t>
      </w:r>
    </w:p>
    <w:p/>
    <w:tbl>
      <w:tblPr>
        <w:tblStyle w:val="TableGrid"/>
        <w:tblW w:type="auto" w:w="0"/>
        <w:tblLook w:firstColumn="1" w:firstRow="1" w:lastColumn="0" w:lastRow="0" w:noHBand="0" w:noVBand="1" w:val="04A0"/>
      </w:tblPr>
      <w:tblGrid>
        <w:gridCol w:w="10166"/>
      </w:tblGrid>
      <w:tr>
        <w:tc>
          <w:tcPr>
            <w:tcW w:type="dxa" w:w="10166"/>
            <w:shd w:fill="EAF3F6"/>
          </w:tcPr>
          <w:p>
            <w:pPr>
              <w:spacing w:after="40"/>
            </w:pPr>
            <w:r/>
            <w:r>
              <w:rPr>
                <w:b/>
                <w:color w:val="14334B"/>
                <w:sz w:val="20"/>
              </w:rPr>
              <w:t>Open the UI</w:t>
            </w:r>
          </w:p>
          <w:p>
            <w:pPr>
              <w:spacing w:after="60"/>
            </w:pPr>
            <w:r>
              <w:t>http://10.10.180.68:8880/</w:t>
              <w:br/>
              <w:t>This is a private-network address. The reader needs access to the same reachable network or VPN.</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FFF4DF"/>
          </w:tcPr>
          <w:p>
            <w:pPr>
              <w:spacing w:after="40"/>
            </w:pPr>
            <w:r/>
            <w:r>
              <w:rPr>
                <w:b/>
                <w:color w:val="14334B"/>
                <w:sz w:val="20"/>
              </w:rPr>
              <w:t>Freshness at document update — 26 October 2026, about 15:11 IST</w:t>
            </w:r>
          </w:p>
          <w:p>
            <w:pPr>
              <w:spacing w:after="60"/>
            </w:pPr>
            <w:r>
              <w:t>The dashboard is available, but its live status reports ingestion as failed/stopped. Last successful update was about 10:06 IST; newest processed publication time was about 10:48 IST. The scheduler heartbeat is not live and 3 failed runs were recorded in the last 24 hours. Rankings may therefore be stale; check the Live processing panel before using them.</w:t>
            </w:r>
          </w:p>
        </w:tc>
      </w:tr>
    </w:tbl>
    <w:p>
      <w:pPr>
        <w:spacing w:after="20"/>
      </w:pPr>
    </w:p>
    <w:p>
      <w:pPr>
        <w:pStyle w:val="Heading1"/>
      </w:pPr>
      <w:r>
        <w:t>The short version</w:t>
      </w:r>
    </w:p>
    <w:p>
      <w:r>
        <w:t>The page groups semantically similar news coverage into stories, keeps stories that meet minimum coverage and selected filters, then ranks those stories against one another. A Trend score is a relative position within the current view—not a probability, certainty, or editorial judgment.</w:t>
      </w:r>
    </w:p>
    <w:tbl>
      <w:tblPr>
        <w:tblStyle w:val="TableGrid"/>
        <w:tblW w:type="auto" w:w="0"/>
        <w:tblLook w:firstColumn="1" w:firstRow="1" w:lastColumn="0" w:lastRow="0" w:noHBand="0" w:noVBand="1" w:val="04A0"/>
      </w:tblPr>
      <w:tblGrid>
        <w:gridCol w:w="10166"/>
      </w:tblGrid>
      <w:tr>
        <w:tc>
          <w:tcPr>
            <w:tcW w:type="dxa" w:w="10166"/>
            <w:shd w:fill="EAF3F6"/>
          </w:tcPr>
          <w:p>
            <w:pPr>
              <w:spacing w:after="40"/>
            </w:pPr>
            <w:r/>
            <w:r>
              <w:rPr>
                <w:b/>
                <w:color w:val="14334B"/>
                <w:sz w:val="20"/>
              </w:rPr>
              <w:t>What this document covers</w:t>
            </w:r>
          </w:p>
          <w:p>
            <w:pPr>
              <w:spacing w:after="60"/>
            </w:pPr>
            <w:r>
              <w:t>Only the News Trending page: story grouping, filters, score formula, three supporting statistical signals, and their thresholds. It intentionally leaves out unrelated pipeline and dashboard metrics.</w:t>
            </w:r>
          </w:p>
        </w:tc>
      </w:tr>
    </w:tbl>
    <w:p>
      <w:pPr>
        <w:spacing w:after="20"/>
      </w:pPr>
    </w:p>
    <w:p>
      <w:r>
        <w:br w:type="page"/>
      </w:r>
    </w:p>
    <w:p>
      <w:pPr>
        <w:pStyle w:val="Heading1"/>
      </w:pPr>
      <w:r>
        <w:t>1. The path from articles to a Trending story</w:t>
      </w:r>
    </w:p>
    <w:p>
      <w:r>
        <w:t>Think of it as three steps: articles become event groups, related event groups become one displayed story, and eligible stories are ranked for the period and filters selected by the reader.</w:t>
      </w:r>
    </w:p>
    <w:p>
      <w:pPr>
        <w:pStyle w:val="ListNumber"/>
      </w:pPr>
      <w:r>
        <w:t>Article → event cluster. The system compares each article’s meaning vector with the centroids of recent clusters. It joins the most similar eligible cluster when cosine similarity is at least 0.80 and the cluster is within the 72-hour time limit; otherwise it starts a new cluster. Exact duplicate copies are excluded from unique article counts.</w:t>
      </w:r>
    </w:p>
    <w:p>
      <w:pPr>
        <w:pStyle w:val="ListNumber"/>
      </w:pPr>
      <w:r>
        <w:t>Cluster → qualifying event. A cluster becomes an event for Trending when it has at least 3 unique articles from at least 2 distinct publisher domains.</w:t>
      </w:r>
    </w:p>
    <w:p>
      <w:pPr>
        <w:pStyle w:val="ListNumber"/>
      </w:pPr>
      <w:r>
        <w:t>Event clusters → displayed story. Qualifying events are linked when their centroids have cosine similarity at least 0.90 and their time ranges overlap or are no more than 72 hours apart. Connected groups of linked events are shown as one story.</w:t>
      </w:r>
    </w:p>
    <w:p>
      <w:pPr>
        <w:pStyle w:val="ListNumber"/>
      </w:pPr>
      <w:r>
        <w:t>Story → ranked result. Apply the selected country/topic, period, minimum coverage, and relevance checks. Calculate a score for the remaining candidates and show the highest-ranked stories. A country-only view includes all topics in that country. A topic-only view spans countries (and can include stories without usable locations). Selecting both applies their intersection.</w:t>
      </w:r>
    </w:p>
    <w:tbl>
      <w:tblPr>
        <w:tblStyle w:val="TableGrid"/>
        <w:tblW w:type="auto" w:w="0"/>
        <w:tblLook w:firstColumn="1" w:firstRow="1" w:lastColumn="0" w:lastRow="0" w:noHBand="0" w:noVBand="1" w:val="04A0"/>
      </w:tblPr>
      <w:tblGrid>
        <w:gridCol w:w="10166"/>
      </w:tblGrid>
      <w:tr>
        <w:tc>
          <w:tcPr>
            <w:tcW w:type="dxa" w:w="10166"/>
            <w:shd w:fill="EAF3F6"/>
          </w:tcPr>
          <w:p>
            <w:pPr>
              <w:spacing w:after="40"/>
            </w:pPr>
            <w:r/>
            <w:r>
              <w:rPr>
                <w:b/>
                <w:color w:val="14334B"/>
                <w:sz w:val="20"/>
              </w:rPr>
              <w:t>Cosine similarity, simply</w:t>
            </w:r>
          </w:p>
          <w:p>
            <w:pPr>
              <w:spacing w:after="60"/>
            </w:pPr>
            <w:r>
              <w:t>A number that compares the direction of two article-meaning vectors. Here, a higher number means the system considers two articles or event groups more similar. The 0.80 and 0.90 cutoffs are configured rules, not guarantees that a grouping is correct.</w:t>
            </w:r>
          </w:p>
        </w:tc>
      </w:tr>
    </w:tbl>
    <w:p>
      <w:pPr>
        <w:spacing w:after="20"/>
      </w:pPr>
    </w:p>
    <w:p>
      <w:pPr>
        <w:pStyle w:val="Heading1"/>
      </w:pPr>
      <w:r>
        <w:t>2. What qualifies for the list?</w:t>
      </w:r>
    </w:p>
    <w:tbl>
      <w:tblPr>
        <w:tblStyle w:val="TableGrid"/>
        <w:tblW w:type="auto" w:w="0"/>
        <w:jc w:val="center"/>
        <w:tblLook w:firstColumn="1" w:firstRow="1" w:lastColumn="0" w:lastRow="0" w:noHBand="0" w:noVBand="1" w:val="04A0"/>
      </w:tblPr>
      <w:tblGrid>
        <w:gridCol w:w="5083"/>
        <w:gridCol w:w="5083"/>
      </w:tblGrid>
      <w:tr>
        <w:tc>
          <w:tcPr>
            <w:tcW w:type="dxa" w:w="1944"/>
            <w:vAlign w:val="center"/>
            <w:shd w:fill="176B87"/>
          </w:tcPr>
          <w:p>
            <w:pPr>
              <w:spacing w:after="20" w:before="20"/>
            </w:pPr>
            <w:r/>
            <w:r>
              <w:rPr>
                <w:rFonts w:ascii="Aptos" w:hAnsi="Aptos"/>
                <w:b/>
                <w:color w:val="FFFFFF"/>
                <w:sz w:val="15"/>
              </w:rPr>
              <w:t>Rule</w:t>
            </w:r>
          </w:p>
        </w:tc>
        <w:tc>
          <w:tcPr>
            <w:tcW w:type="dxa" w:w="7848"/>
            <w:vAlign w:val="center"/>
            <w:shd w:fill="176B87"/>
          </w:tcPr>
          <w:p>
            <w:pPr>
              <w:spacing w:after="20" w:before="20"/>
            </w:pPr>
            <w:r/>
            <w:r>
              <w:rPr>
                <w:rFonts w:ascii="Aptos" w:hAnsi="Aptos"/>
                <w:b/>
                <w:color w:val="FFFFFF"/>
                <w:sz w:val="15"/>
              </w:rPr>
              <w:t>What it means</w:t>
            </w:r>
          </w:p>
        </w:tc>
      </w:tr>
      <w:tr>
        <w:tc>
          <w:tcPr>
            <w:tcW w:type="dxa" w:w="1944"/>
            <w:vAlign w:val="center"/>
          </w:tcPr>
          <w:p>
            <w:pPr>
              <w:spacing w:after="20" w:before="20"/>
            </w:pPr>
            <w:r/>
            <w:r>
              <w:rPr>
                <w:rFonts w:ascii="Aptos" w:hAnsi="Aptos"/>
                <w:b w:val="0"/>
                <w:sz w:val="15"/>
              </w:rPr>
              <w:t>Selected view</w:t>
            </w:r>
          </w:p>
        </w:tc>
        <w:tc>
          <w:tcPr>
            <w:tcW w:type="dxa" w:w="7848"/>
            <w:vAlign w:val="center"/>
          </w:tcPr>
          <w:p>
            <w:pPr>
              <w:spacing w:after="20" w:before="20"/>
            </w:pPr>
            <w:r/>
            <w:r>
              <w:rPr>
                <w:rFonts w:ascii="Aptos" w:hAnsi="Aptos"/>
                <w:b w:val="0"/>
                <w:sz w:val="15"/>
              </w:rPr>
              <w:t>Choose a country, a topic/domain, or both. With neither selected, Trending is not calculated.</w:t>
            </w:r>
          </w:p>
        </w:tc>
      </w:tr>
      <w:tr>
        <w:tc>
          <w:tcPr>
            <w:tcW w:type="dxa" w:w="1944"/>
            <w:vAlign w:val="center"/>
            <w:shd w:fill="F0F5F7"/>
          </w:tcPr>
          <w:p>
            <w:pPr>
              <w:spacing w:after="20" w:before="20"/>
            </w:pPr>
            <w:r/>
            <w:r>
              <w:rPr>
                <w:rFonts w:ascii="Aptos" w:hAnsi="Aptos"/>
                <w:b w:val="0"/>
                <w:sz w:val="15"/>
              </w:rPr>
              <w:t>Period activity</w:t>
            </w:r>
          </w:p>
        </w:tc>
        <w:tc>
          <w:tcPr>
            <w:tcW w:type="dxa" w:w="7848"/>
            <w:vAlign w:val="center"/>
            <w:shd w:fill="F0F5F7"/>
          </w:tcPr>
          <w:p>
            <w:pPr>
              <w:spacing w:after="20" w:before="20"/>
            </w:pPr>
            <w:r/>
            <w:r>
              <w:rPr>
                <w:rFonts w:ascii="Aptos" w:hAnsi="Aptos"/>
                <w:b w:val="0"/>
                <w:sz w:val="15"/>
              </w:rPr>
              <w:t>At least 3 unique articles and at least 2 distinct publisher domains in the selected period.</w:t>
            </w:r>
          </w:p>
        </w:tc>
      </w:tr>
      <w:tr>
        <w:tc>
          <w:tcPr>
            <w:tcW w:type="dxa" w:w="1944"/>
            <w:vAlign w:val="center"/>
          </w:tcPr>
          <w:p>
            <w:pPr>
              <w:spacing w:after="20" w:before="20"/>
            </w:pPr>
            <w:r/>
            <w:r>
              <w:rPr>
                <w:rFonts w:ascii="Aptos" w:hAnsi="Aptos"/>
                <w:b w:val="0"/>
                <w:sz w:val="15"/>
              </w:rPr>
              <w:t>Country match</w:t>
            </w:r>
          </w:p>
        </w:tc>
        <w:tc>
          <w:tcPr>
            <w:tcW w:type="dxa" w:w="7848"/>
            <w:vAlign w:val="center"/>
          </w:tcPr>
          <w:p>
            <w:pPr>
              <w:spacing w:after="20" w:before="20"/>
            </w:pPr>
            <w:r/>
            <w:r>
              <w:rPr>
                <w:rFonts w:ascii="Aptos" w:hAnsi="Aptos"/>
                <w:b w:val="0"/>
                <w:sz w:val="15"/>
              </w:rPr>
              <w:t>All must pass: at least 60% of the story’s located articles point to that country; at least 2 articles are located there; and those articles are at least 25% of the whole story.</w:t>
            </w:r>
          </w:p>
        </w:tc>
      </w:tr>
      <w:tr>
        <w:tc>
          <w:tcPr>
            <w:tcW w:type="dxa" w:w="1944"/>
            <w:vAlign w:val="center"/>
            <w:shd w:fill="F0F5F7"/>
          </w:tcPr>
          <w:p>
            <w:pPr>
              <w:spacing w:after="20" w:before="20"/>
            </w:pPr>
            <w:r/>
            <w:r>
              <w:rPr>
                <w:rFonts w:ascii="Aptos" w:hAnsi="Aptos"/>
                <w:b w:val="0"/>
                <w:sz w:val="15"/>
              </w:rPr>
              <w:t>Topic/domain match</w:t>
            </w:r>
          </w:p>
        </w:tc>
        <w:tc>
          <w:tcPr>
            <w:tcW w:type="dxa" w:w="7848"/>
            <w:vAlign w:val="center"/>
            <w:shd w:fill="F0F5F7"/>
          </w:tcPr>
          <w:p>
            <w:pPr>
              <w:spacing w:after="20" w:before="20"/>
            </w:pPr>
            <w:r/>
            <w:r>
              <w:rPr>
                <w:rFonts w:ascii="Aptos" w:hAnsi="Aptos"/>
                <w:b w:val="0"/>
                <w:sz w:val="15"/>
              </w:rPr>
              <w:t>More than 50% of the story’s labelled articles must agree on the selected label. Deeper labels follow the agreed parent path; a plurality is not enough.</w:t>
            </w:r>
          </w:p>
        </w:tc>
      </w:tr>
      <w:tr>
        <w:tc>
          <w:tcPr>
            <w:tcW w:type="dxa" w:w="1944"/>
            <w:vAlign w:val="center"/>
          </w:tcPr>
          <w:p>
            <w:pPr>
              <w:spacing w:after="20" w:before="20"/>
            </w:pPr>
            <w:r/>
            <w:r>
              <w:rPr>
                <w:rFonts w:ascii="Aptos" w:hAnsi="Aptos"/>
                <w:b w:val="0"/>
                <w:sz w:val="15"/>
              </w:rPr>
              <w:t>Relevance check</w:t>
            </w:r>
          </w:p>
        </w:tc>
        <w:tc>
          <w:tcPr>
            <w:tcW w:type="dxa" w:w="7848"/>
            <w:vAlign w:val="center"/>
          </w:tcPr>
          <w:p>
            <w:pPr>
              <w:spacing w:after="20" w:before="20"/>
            </w:pPr>
            <w:r/>
            <w:r>
              <w:rPr>
                <w:rFonts w:ascii="Aptos" w:hAnsi="Aptos"/>
                <w:b w:val="0"/>
                <w:sz w:val="15"/>
              </w:rPr>
              <w:t>If a relevance score exists: average cosine to the 5 nearest taxonomy reference examples must be at least 0.65. Under a selected domain/topic, at least 30% of the 10 nearest examples must vote for that domain. Unscored stories pass this check rather than being treated as irrelevant.</w:t>
            </w:r>
          </w:p>
        </w:tc>
      </w:tr>
      <w:tr>
        <w:tc>
          <w:tcPr>
            <w:tcW w:type="dxa" w:w="1944"/>
            <w:vAlign w:val="center"/>
            <w:shd w:fill="F0F5F7"/>
          </w:tcPr>
          <w:p>
            <w:pPr>
              <w:spacing w:after="20" w:before="20"/>
            </w:pPr>
            <w:r/>
            <w:r>
              <w:rPr>
                <w:rFonts w:ascii="Aptos" w:hAnsi="Aptos"/>
                <w:b w:val="0"/>
                <w:sz w:val="15"/>
              </w:rPr>
              <w:t>Top results</w:t>
            </w:r>
          </w:p>
        </w:tc>
        <w:tc>
          <w:tcPr>
            <w:tcW w:type="dxa" w:w="7848"/>
            <w:vAlign w:val="center"/>
            <w:shd w:fill="F0F5F7"/>
          </w:tcPr>
          <w:p>
            <w:pPr>
              <w:spacing w:after="20" w:before="20"/>
            </w:pPr>
            <w:r/>
            <w:r>
              <w:rPr>
                <w:rFonts w:ascii="Aptos" w:hAnsi="Aptos"/>
                <w:b w:val="0"/>
                <w:sz w:val="15"/>
              </w:rPr>
              <w:t>The page initially shows up to 10. “Show more” can expand the list up to 30.</w:t>
            </w:r>
          </w:p>
        </w:tc>
      </w:tr>
    </w:tbl>
    <w:p>
      <w:pPr>
        <w:spacing w:after="20"/>
      </w:pPr>
    </w:p>
    <w:p>
      <w:pPr>
        <w:pStyle w:val="Heading1"/>
      </w:pPr>
      <w:r>
        <w:t>3. Periods and growth</w:t>
      </w:r>
    </w:p>
    <w:p>
      <w:pPr>
        <w:pStyle w:val="ListBullet"/>
      </w:pPr>
      <w:r>
        <w:t>Preset periods are rolling last 24 hours, 3 days, or 7 days, ending at the latest article publication time loaded in the page—not necessarily the current clock time.</w:t>
      </w:r>
    </w:p>
    <w:p>
      <w:pPr>
        <w:pStyle w:val="ListBullet"/>
      </w:pPr>
      <w:r>
        <w:t>Custom dates include both selected calendar dates in India Standard Time (IST). Internally, the selected IST midnight-to-midnight boundaries are converted to UTC.</w:t>
      </w:r>
    </w:p>
    <w:p>
      <w:pPr>
        <w:pStyle w:val="ListBullet"/>
      </w:pPr>
      <w:r>
        <w:t>Growth compares the selected period with the immediately preceding period of equal length. It is omitted unless that earlier period is sufficiently covered and the two periods contain at least 5 articles combined.</w:t>
      </w:r>
    </w:p>
    <w:p>
      <w:pPr>
        <w:pStyle w:val="ListBullet"/>
      </w:pPr>
      <w:r>
        <w:t>If data ingestion is behind, the “data up to” time can be old. The period is still anchored to available data, so check the Live processing status.</w:t>
      </w:r>
    </w:p>
    <w:tbl>
      <w:tblPr>
        <w:tblW w:type="auto" w:w="0"/>
        <w:tblLook w:firstColumn="1" w:firstRow="1" w:lastColumn="0" w:lastRow="0" w:noHBand="0" w:noVBand="1" w:val="04A0"/>
      </w:tblPr>
      <w:tblGrid>
        <w:gridCol w:w="10166"/>
      </w:tblGrid>
      <w:tr>
        <w:tc>
          <w:tcPr>
            <w:tcW w:type="dxa" w:w="10166"/>
            <w:shd w:fill="F1F5F7"/>
          </w:tcPr>
          <w:p>
            <w:pPr>
              <w:spacing w:before="100" w:after="100"/>
              <w:jc w:val="center"/>
            </w:pPr>
            <w:r/>
            <w:r>
              <w:rPr>
                <w:rFonts w:ascii="Consolas" w:hAnsi="Consolas"/>
                <w:b/>
                <w:color w:val="14334B"/>
                <w:sz w:val="20"/>
              </w:rPr>
              <w:t>Growth = ln((current-period articles + 1) / (previous-period articles + 1))</w:t>
            </w:r>
          </w:p>
        </w:tc>
      </w:tr>
    </w:tbl>
    <w:p>
      <w:pPr>
        <w:spacing w:after="20"/>
      </w:pPr>
    </w:p>
    <w:p>
      <w:r>
        <w:t>The +1 lets the calculation handle a period with no articles without dividing by zero. A positive result means article volume increased versus the previous interval; a negative result means it decreased.</w:t>
      </w:r>
    </w:p>
    <w:p>
      <w:pPr>
        <w:pStyle w:val="Heading1"/>
      </w:pPr>
      <w:r>
        <w:t>4. Final Trend score — formula</w:t>
      </w:r>
    </w:p>
    <w:p>
      <w:r>
        <w:t>The page ranks each eligible story separately on five ingredients. Each ingredient becomes a percentile from 0 to 1 among the eligible stories in the current filtered view. Higher volume, more publishers, stronger growth, newer activity, and more available statistical flags rank higher.</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176B87"/>
          </w:tcPr>
          <w:p>
            <w:pPr>
              <w:spacing w:after="20" w:before="20"/>
            </w:pPr>
            <w:r/>
            <w:r>
              <w:rPr>
                <w:rFonts w:ascii="Aptos" w:hAnsi="Aptos"/>
                <w:b/>
                <w:color w:val="FFFFFF"/>
                <w:sz w:val="16"/>
              </w:rPr>
              <w:t>Ingredient</w:t>
            </w:r>
          </w:p>
        </w:tc>
        <w:tc>
          <w:tcPr>
            <w:tcW w:type="dxa" w:w="6696"/>
            <w:vAlign w:val="center"/>
            <w:shd w:fill="176B87"/>
          </w:tcPr>
          <w:p>
            <w:pPr>
              <w:spacing w:after="20" w:before="20"/>
            </w:pPr>
            <w:r/>
            <w:r>
              <w:rPr>
                <w:rFonts w:ascii="Aptos" w:hAnsi="Aptos"/>
                <w:b/>
                <w:color w:val="FFFFFF"/>
                <w:sz w:val="16"/>
              </w:rPr>
              <w:t>What is ranked</w:t>
            </w:r>
          </w:p>
        </w:tc>
        <w:tc>
          <w:tcPr>
            <w:tcW w:type="dxa" w:w="1152"/>
            <w:vAlign w:val="center"/>
            <w:shd w:fill="176B87"/>
          </w:tcPr>
          <w:p>
            <w:pPr>
              <w:spacing w:after="20" w:before="20"/>
            </w:pPr>
            <w:r/>
            <w:r>
              <w:rPr>
                <w:rFonts w:ascii="Aptos" w:hAnsi="Aptos"/>
                <w:b/>
                <w:color w:val="FFFFFF"/>
                <w:sz w:val="16"/>
              </w:rPr>
              <w:t>Weight</w:t>
            </w:r>
          </w:p>
        </w:tc>
      </w:tr>
      <w:tr>
        <w:tc>
          <w:tcPr>
            <w:tcW w:type="dxa" w:w="1800"/>
            <w:vAlign w:val="center"/>
          </w:tcPr>
          <w:p>
            <w:pPr>
              <w:spacing w:after="20" w:before="20"/>
            </w:pPr>
            <w:r/>
            <w:r>
              <w:rPr>
                <w:rFonts w:ascii="Aptos" w:hAnsi="Aptos"/>
                <w:b w:val="0"/>
                <w:sz w:val="16"/>
              </w:rPr>
              <w:t>Volume</w:t>
            </w:r>
          </w:p>
        </w:tc>
        <w:tc>
          <w:tcPr>
            <w:tcW w:type="dxa" w:w="6696"/>
            <w:vAlign w:val="center"/>
          </w:tcPr>
          <w:p>
            <w:pPr>
              <w:spacing w:after="20" w:before="20"/>
            </w:pPr>
            <w:r/>
            <w:r>
              <w:rPr>
                <w:rFonts w:ascii="Aptos" w:hAnsi="Aptos"/>
                <w:b w:val="0"/>
                <w:sz w:val="16"/>
              </w:rPr>
              <w:t>Unique story articles in the selected period</w:t>
            </w:r>
          </w:p>
        </w:tc>
        <w:tc>
          <w:tcPr>
            <w:tcW w:type="dxa" w:w="1152"/>
            <w:vAlign w:val="center"/>
          </w:tcPr>
          <w:p>
            <w:pPr>
              <w:spacing w:after="20" w:before="20"/>
            </w:pPr>
            <w:r/>
            <w:r>
              <w:rPr>
                <w:rFonts w:ascii="Aptos" w:hAnsi="Aptos"/>
                <w:b w:val="0"/>
                <w:sz w:val="16"/>
              </w:rPr>
              <w:t>30%</w:t>
            </w:r>
          </w:p>
        </w:tc>
      </w:tr>
      <w:tr>
        <w:tc>
          <w:tcPr>
            <w:tcW w:type="dxa" w:w="1800"/>
            <w:vAlign w:val="center"/>
            <w:shd w:fill="F0F5F7"/>
          </w:tcPr>
          <w:p>
            <w:pPr>
              <w:spacing w:after="20" w:before="20"/>
            </w:pPr>
            <w:r/>
            <w:r>
              <w:rPr>
                <w:rFonts w:ascii="Aptos" w:hAnsi="Aptos"/>
                <w:b w:val="0"/>
                <w:sz w:val="16"/>
              </w:rPr>
              <w:t>Publisher breadth</w:t>
            </w:r>
          </w:p>
        </w:tc>
        <w:tc>
          <w:tcPr>
            <w:tcW w:type="dxa" w:w="6696"/>
            <w:vAlign w:val="center"/>
            <w:shd w:fill="F0F5F7"/>
          </w:tcPr>
          <w:p>
            <w:pPr>
              <w:spacing w:after="20" w:before="20"/>
            </w:pPr>
            <w:r/>
            <w:r>
              <w:rPr>
                <w:rFonts w:ascii="Aptos" w:hAnsi="Aptos"/>
                <w:b w:val="0"/>
                <w:sz w:val="16"/>
              </w:rPr>
              <w:t>Distinct publisher domains in the selected period</w:t>
            </w:r>
          </w:p>
        </w:tc>
        <w:tc>
          <w:tcPr>
            <w:tcW w:type="dxa" w:w="1152"/>
            <w:vAlign w:val="center"/>
            <w:shd w:fill="F0F5F7"/>
          </w:tcPr>
          <w:p>
            <w:pPr>
              <w:spacing w:after="20" w:before="20"/>
            </w:pPr>
            <w:r/>
            <w:r>
              <w:rPr>
                <w:rFonts w:ascii="Aptos" w:hAnsi="Aptos"/>
                <w:b w:val="0"/>
                <w:sz w:val="16"/>
              </w:rPr>
              <w:t>30%</w:t>
            </w:r>
          </w:p>
        </w:tc>
      </w:tr>
      <w:tr>
        <w:tc>
          <w:tcPr>
            <w:tcW w:type="dxa" w:w="1800"/>
            <w:vAlign w:val="center"/>
          </w:tcPr>
          <w:p>
            <w:pPr>
              <w:spacing w:after="20" w:before="20"/>
            </w:pPr>
            <w:r/>
            <w:r>
              <w:rPr>
                <w:rFonts w:ascii="Aptos" w:hAnsi="Aptos"/>
                <w:b w:val="0"/>
                <w:sz w:val="16"/>
              </w:rPr>
              <w:t>Growth</w:t>
            </w:r>
          </w:p>
        </w:tc>
        <w:tc>
          <w:tcPr>
            <w:tcW w:type="dxa" w:w="6696"/>
            <w:vAlign w:val="center"/>
          </w:tcPr>
          <w:p>
            <w:pPr>
              <w:spacing w:after="20" w:before="20"/>
            </w:pPr>
            <w:r/>
            <w:r>
              <w:rPr>
                <w:rFonts w:ascii="Aptos" w:hAnsi="Aptos"/>
                <w:b w:val="0"/>
                <w:sz w:val="16"/>
              </w:rPr>
              <w:t>Formula above, when available</w:t>
            </w:r>
          </w:p>
        </w:tc>
        <w:tc>
          <w:tcPr>
            <w:tcW w:type="dxa" w:w="1152"/>
            <w:vAlign w:val="center"/>
          </w:tcPr>
          <w:p>
            <w:pPr>
              <w:spacing w:after="20" w:before="20"/>
            </w:pPr>
            <w:r/>
            <w:r>
              <w:rPr>
                <w:rFonts w:ascii="Aptos" w:hAnsi="Aptos"/>
                <w:b w:val="0"/>
                <w:sz w:val="16"/>
              </w:rPr>
              <w:t>20%</w:t>
            </w:r>
          </w:p>
        </w:tc>
      </w:tr>
      <w:tr>
        <w:tc>
          <w:tcPr>
            <w:tcW w:type="dxa" w:w="1800"/>
            <w:vAlign w:val="center"/>
            <w:shd w:fill="F0F5F7"/>
          </w:tcPr>
          <w:p>
            <w:pPr>
              <w:spacing w:after="20" w:before="20"/>
            </w:pPr>
            <w:r/>
            <w:r>
              <w:rPr>
                <w:rFonts w:ascii="Aptos" w:hAnsi="Aptos"/>
                <w:b w:val="0"/>
                <w:sz w:val="16"/>
              </w:rPr>
              <w:t>Recency</w:t>
            </w:r>
          </w:p>
        </w:tc>
        <w:tc>
          <w:tcPr>
            <w:tcW w:type="dxa" w:w="6696"/>
            <w:vAlign w:val="center"/>
            <w:shd w:fill="F0F5F7"/>
          </w:tcPr>
          <w:p>
            <w:pPr>
              <w:spacing w:after="20" w:before="20"/>
            </w:pPr>
            <w:r/>
            <w:r>
              <w:rPr>
                <w:rFonts w:ascii="Aptos" w:hAnsi="Aptos"/>
                <w:b w:val="0"/>
                <w:sz w:val="16"/>
              </w:rPr>
              <w:t>Negative hours since the story’s latest article (newer is better)</w:t>
            </w:r>
          </w:p>
        </w:tc>
        <w:tc>
          <w:tcPr>
            <w:tcW w:type="dxa" w:w="1152"/>
            <w:vAlign w:val="center"/>
            <w:shd w:fill="F0F5F7"/>
          </w:tcPr>
          <w:p>
            <w:pPr>
              <w:spacing w:after="20" w:before="20"/>
            </w:pPr>
            <w:r/>
            <w:r>
              <w:rPr>
                <w:rFonts w:ascii="Aptos" w:hAnsi="Aptos"/>
                <w:b w:val="0"/>
                <w:sz w:val="16"/>
              </w:rPr>
              <w:t>10%</w:t>
            </w:r>
          </w:p>
        </w:tc>
      </w:tr>
      <w:tr>
        <w:tc>
          <w:tcPr>
            <w:tcW w:type="dxa" w:w="1800"/>
            <w:vAlign w:val="center"/>
          </w:tcPr>
          <w:p>
            <w:pPr>
              <w:spacing w:after="20" w:before="20"/>
            </w:pPr>
            <w:r/>
            <w:r>
              <w:rPr>
                <w:rFonts w:ascii="Aptos" w:hAnsi="Aptos"/>
                <w:b w:val="0"/>
                <w:sz w:val="16"/>
              </w:rPr>
              <w:t>Statistical evidence</w:t>
            </w:r>
          </w:p>
        </w:tc>
        <w:tc>
          <w:tcPr>
            <w:tcW w:type="dxa" w:w="6696"/>
            <w:vAlign w:val="center"/>
          </w:tcPr>
          <w:p>
            <w:pPr>
              <w:spacing w:after="20" w:before="20"/>
            </w:pPr>
            <w:r/>
            <w:r>
              <w:rPr>
                <w:rFonts w:ascii="Aptos" w:hAnsi="Aptos"/>
                <w:b w:val="0"/>
                <w:sz w:val="16"/>
              </w:rPr>
              <w:t>Number of available flagged evidence entries for this story, percentile-ranked</w:t>
            </w:r>
          </w:p>
        </w:tc>
        <w:tc>
          <w:tcPr>
            <w:tcW w:type="dxa" w:w="1152"/>
            <w:vAlign w:val="center"/>
          </w:tcPr>
          <w:p>
            <w:pPr>
              <w:spacing w:after="20" w:before="20"/>
            </w:pPr>
            <w:r/>
            <w:r>
              <w:rPr>
                <w:rFonts w:ascii="Aptos" w:hAnsi="Aptos"/>
                <w:b w:val="0"/>
                <w:sz w:val="16"/>
              </w:rPr>
              <w:t>10%</w:t>
            </w:r>
          </w:p>
        </w:tc>
      </w:tr>
    </w:tbl>
    <w:p>
      <w:pPr>
        <w:spacing w:after="20"/>
      </w:pPr>
    </w:p>
    <w:tbl>
      <w:tblPr>
        <w:tblW w:type="auto" w:w="0"/>
        <w:tblLook w:firstColumn="1" w:firstRow="1" w:lastColumn="0" w:lastRow="0" w:noHBand="0" w:noVBand="1" w:val="04A0"/>
      </w:tblPr>
      <w:tblGrid>
        <w:gridCol w:w="10166"/>
      </w:tblGrid>
      <w:tr>
        <w:tc>
          <w:tcPr>
            <w:tcW w:type="dxa" w:w="10166"/>
            <w:shd w:fill="F1F5F7"/>
          </w:tcPr>
          <w:p>
            <w:pPr>
              <w:spacing w:before="100" w:after="100"/>
              <w:jc w:val="center"/>
            </w:pPr>
            <w:r/>
            <w:r>
              <w:rPr>
                <w:rFonts w:ascii="Consolas" w:hAnsi="Consolas"/>
                <w:b/>
                <w:color w:val="14334B"/>
                <w:sz w:val="20"/>
              </w:rPr>
              <w:t>Score = 100 × Σ(weight × percentile) / Σ(available component weights)</w:t>
            </w:r>
          </w:p>
        </w:tc>
      </w:tr>
    </w:tbl>
    <w:p>
      <w:pPr>
        <w:spacing w:after="20"/>
      </w:pPr>
    </w:p>
    <w:p>
      <w:r>
        <w:t>Tied values use average ranks. For a component with n scored stories, its percentile is (average rank − 0.5) / n; when only one story has that component, its percentile is 0.5. If growth or evidence is unavailable, that component is removed from both sums and the remaining weights are rescaled.</w:t>
      </w:r>
    </w:p>
    <w:p>
      <w:pPr>
        <w:pStyle w:val="Heading2"/>
      </w:pPr>
      <w:r>
        <w:t>A small worked example</w:t>
      </w:r>
    </w:p>
    <w:p>
      <w:r>
        <w:t>Suppose a story’s percentiles are volume 0.80, breadth 0.60, growth 0.70, recency 0.90, and evidence 0.50. Its score is 100 × (0.30×0.80 + 0.30×0.60 + 0.20×0.70 + 0.10×0.90 + 0.10×0.50) = 70. This means it ranked well against the other stories in that view; it does not mean “70% likely to be important.”</w:t>
      </w:r>
    </w:p>
    <w:tbl>
      <w:tblPr>
        <w:tblStyle w:val="TableGrid"/>
        <w:tblW w:type="auto" w:w="0"/>
        <w:tblLook w:firstColumn="1" w:firstRow="1" w:lastColumn="0" w:lastRow="0" w:noHBand="0" w:noVBand="1" w:val="04A0"/>
      </w:tblPr>
      <w:tblGrid>
        <w:gridCol w:w="10166"/>
      </w:tblGrid>
      <w:tr>
        <w:tc>
          <w:tcPr>
            <w:tcW w:type="dxa" w:w="10166"/>
            <w:shd w:fill="EAF3F6"/>
          </w:tcPr>
          <w:p>
            <w:pPr>
              <w:spacing w:after="40"/>
            </w:pPr>
            <w:r/>
            <w:r>
              <w:rPr>
                <w:b/>
                <w:color w:val="14334B"/>
                <w:sz w:val="20"/>
              </w:rPr>
              <w:t>Typical coverage is not part of the score</w:t>
            </w:r>
          </w:p>
          <w:p>
            <w:pPr>
              <w:spacing w:after="60"/>
            </w:pPr>
            <w:r>
              <w:t>When there are at least 50 comparable earlier story-windows, a card may say how the story’s article count compares with typical coverage. This is descriptive context, not a statistical test and not a score ingredient. The comparison uses the same geographic scope; it uses a domain-specific group when enough examples exist, otherwise the broader geographic group.</w:t>
            </w:r>
          </w:p>
        </w:tc>
      </w:tr>
    </w:tbl>
    <w:p>
      <w:pPr>
        <w:spacing w:after="20"/>
      </w:pPr>
    </w:p>
    <w:p>
      <w:pPr>
        <w:pStyle w:val="Heading1"/>
      </w:pPr>
      <w:r>
        <w:t>5. Statistical evidence shown with a story</w:t>
      </w:r>
    </w:p>
    <w:p>
      <w:r>
        <w:t>The pipeline calculates three separate signals. They can add supporting evidence to a story, but a story does not need a signal to appear or rank. The evidence component is available for registered country areas; within those areas, flagged entries are counted and no flag adds no entry. If the country is not registered, evidence is unavailable and its score weight is omitted. An unavailable test (for example, too few reference events) is not evidence that a story is ordinary.</w:t>
      </w:r>
    </w:p>
    <w:p>
      <w:pPr>
        <w:pStyle w:val="Heading2"/>
      </w:pPr>
      <w:r>
        <w:t>5.1 Emerging event: unusually fast, broad pickup</w:t>
      </w:r>
    </w:p>
    <w:p>
      <w:r>
        <w:t>A new event is compared with recent events at the same age. The comparison asks: how many reference events had at least this many distinct publishers by the same age?</w:t>
      </w:r>
    </w:p>
    <w:tbl>
      <w:tblPr>
        <w:tblW w:type="auto" w:w="0"/>
        <w:tblLook w:firstColumn="1" w:firstRow="1" w:lastColumn="0" w:lastRow="0" w:noHBand="0" w:noVBand="1" w:val="04A0"/>
      </w:tblPr>
      <w:tblGrid>
        <w:gridCol w:w="10166"/>
      </w:tblGrid>
      <w:tr>
        <w:tc>
          <w:tcPr>
            <w:tcW w:type="dxa" w:w="10166"/>
            <w:shd w:fill="F1F5F7"/>
          </w:tcPr>
          <w:p>
            <w:pPr>
              <w:spacing w:before="100" w:after="100"/>
              <w:jc w:val="center"/>
            </w:pPr>
            <w:r/>
            <w:r>
              <w:rPr>
                <w:rFonts w:ascii="Consolas" w:hAnsi="Consolas"/>
                <w:b/>
                <w:color w:val="14334B"/>
                <w:sz w:val="20"/>
              </w:rPr>
              <w:t>p = (1 + reference events with ≥ k publishers at the same age) / (number of reference events + 1)</w:t>
            </w:r>
          </w:p>
        </w:tc>
      </w:tr>
    </w:tbl>
    <w:p>
      <w:pPr>
        <w:spacing w:after="20"/>
      </w:pPr>
    </w:p>
    <w:tbl>
      <w:tblPr>
        <w:tblStyle w:val="TableGrid"/>
        <w:tblW w:type="auto" w:w="0"/>
        <w:jc w:val="center"/>
        <w:tblLook w:firstColumn="1" w:firstRow="1" w:lastColumn="0" w:lastRow="0" w:noHBand="0" w:noVBand="1" w:val="04A0"/>
      </w:tblPr>
      <w:tblGrid>
        <w:gridCol w:w="5083"/>
        <w:gridCol w:w="5083"/>
      </w:tblGrid>
      <w:tr>
        <w:tc>
          <w:tcPr>
            <w:tcW w:type="dxa" w:w="1872"/>
            <w:vAlign w:val="center"/>
            <w:shd w:fill="176B87"/>
          </w:tcPr>
          <w:p>
            <w:pPr>
              <w:spacing w:after="20" w:before="20"/>
            </w:pPr>
            <w:r/>
            <w:r>
              <w:rPr>
                <w:rFonts w:ascii="Aptos" w:hAnsi="Aptos"/>
                <w:b/>
                <w:color w:val="FFFFFF"/>
                <w:sz w:val="15"/>
              </w:rPr>
              <w:t>Requirement</w:t>
            </w:r>
          </w:p>
        </w:tc>
        <w:tc>
          <w:tcPr>
            <w:tcW w:type="dxa" w:w="7920"/>
            <w:vAlign w:val="center"/>
            <w:shd w:fill="176B87"/>
          </w:tcPr>
          <w:p>
            <w:pPr>
              <w:spacing w:after="20" w:before="20"/>
            </w:pPr>
            <w:r/>
            <w:r>
              <w:rPr>
                <w:rFonts w:ascii="Aptos" w:hAnsi="Aptos"/>
                <w:b/>
                <w:color w:val="FFFFFF"/>
                <w:sz w:val="15"/>
              </w:rPr>
              <w:t>Configured rule</w:t>
            </w:r>
          </w:p>
        </w:tc>
      </w:tr>
      <w:tr>
        <w:tc>
          <w:tcPr>
            <w:tcW w:type="dxa" w:w="1872"/>
            <w:vAlign w:val="center"/>
          </w:tcPr>
          <w:p>
            <w:pPr>
              <w:spacing w:after="20" w:before="20"/>
            </w:pPr>
            <w:r/>
            <w:r>
              <w:rPr>
                <w:rFonts w:ascii="Aptos" w:hAnsi="Aptos"/>
                <w:b w:val="0"/>
                <w:sz w:val="15"/>
              </w:rPr>
              <w:t>Candidate event</w:t>
            </w:r>
          </w:p>
        </w:tc>
        <w:tc>
          <w:tcPr>
            <w:tcW w:type="dxa" w:w="7920"/>
            <w:vAlign w:val="center"/>
          </w:tcPr>
          <w:p>
            <w:pPr>
              <w:spacing w:after="20" w:before="20"/>
            </w:pPr>
            <w:r/>
            <w:r>
              <w:rPr>
                <w:rFonts w:ascii="Aptos" w:hAnsi="Aptos"/>
                <w:b w:val="0"/>
                <w:sz w:val="15"/>
              </w:rPr>
              <w:t>First seen within 48 hours; at least 3 unique articles and at least 3 publishers; not labelled D00 (“Other / non-relevant”).</w:t>
            </w:r>
          </w:p>
        </w:tc>
      </w:tr>
      <w:tr>
        <w:tc>
          <w:tcPr>
            <w:tcW w:type="dxa" w:w="1872"/>
            <w:vAlign w:val="center"/>
            <w:shd w:fill="F0F5F7"/>
          </w:tcPr>
          <w:p>
            <w:pPr>
              <w:spacing w:after="20" w:before="20"/>
            </w:pPr>
            <w:r/>
            <w:r>
              <w:rPr>
                <w:rFonts w:ascii="Aptos" w:hAnsi="Aptos"/>
                <w:b w:val="0"/>
                <w:sz w:val="15"/>
              </w:rPr>
              <w:t>Location</w:t>
            </w:r>
          </w:p>
        </w:tc>
        <w:tc>
          <w:tcPr>
            <w:tcW w:type="dxa" w:w="7920"/>
            <w:vAlign w:val="center"/>
            <w:shd w:fill="F0F5F7"/>
          </w:tcPr>
          <w:p>
            <w:pPr>
              <w:spacing w:after="20" w:before="20"/>
            </w:pPr>
            <w:r/>
            <w:r>
              <w:rPr>
                <w:rFonts w:ascii="Aptos" w:hAnsi="Aptos"/>
                <w:b w:val="0"/>
                <w:sz w:val="15"/>
              </w:rPr>
              <w:t>High confidence: at least 3 located articles and at least 80% of located articles agree on the country.</w:t>
            </w:r>
          </w:p>
        </w:tc>
      </w:tr>
      <w:tr>
        <w:tc>
          <w:tcPr>
            <w:tcW w:type="dxa" w:w="1872"/>
            <w:vAlign w:val="center"/>
          </w:tcPr>
          <w:p>
            <w:pPr>
              <w:spacing w:after="20" w:before="20"/>
            </w:pPr>
            <w:r/>
            <w:r>
              <w:rPr>
                <w:rFonts w:ascii="Aptos" w:hAnsi="Aptos"/>
                <w:b w:val="0"/>
                <w:sz w:val="15"/>
              </w:rPr>
              <w:t>Reference group</w:t>
            </w:r>
          </w:p>
        </w:tc>
        <w:tc>
          <w:tcPr>
            <w:tcW w:type="dxa" w:w="7920"/>
            <w:vAlign w:val="center"/>
          </w:tcPr>
          <w:p>
            <w:pPr>
              <w:spacing w:after="20" w:before="20"/>
            </w:pPr>
            <w:r/>
            <w:r>
              <w:rPr>
                <w:rFonts w:ascii="Aptos" w:hAnsi="Aptos"/>
                <w:b w:val="0"/>
                <w:sz w:val="15"/>
              </w:rPr>
              <w:t>Events from the prior 28 days. Compare within the same taxonomy domain if it has at least 50 references; otherwise use the country/AOI pool. If that pool also has fewer than 50, no test result is produced.</w:t>
            </w:r>
          </w:p>
        </w:tc>
      </w:tr>
      <w:tr>
        <w:tc>
          <w:tcPr>
            <w:tcW w:type="dxa" w:w="1872"/>
            <w:vAlign w:val="center"/>
            <w:shd w:fill="F0F5F7"/>
          </w:tcPr>
          <w:p>
            <w:pPr>
              <w:spacing w:after="20" w:before="20"/>
            </w:pPr>
            <w:r/>
            <w:r>
              <w:rPr>
                <w:rFonts w:ascii="Aptos" w:hAnsi="Aptos"/>
                <w:b w:val="0"/>
                <w:sz w:val="15"/>
              </w:rPr>
              <w:t>Alert gate</w:t>
            </w:r>
          </w:p>
        </w:tc>
        <w:tc>
          <w:tcPr>
            <w:tcW w:type="dxa" w:w="7920"/>
            <w:vAlign w:val="center"/>
            <w:shd w:fill="F0F5F7"/>
          </w:tcPr>
          <w:p>
            <w:pPr>
              <w:spacing w:after="20" w:before="20"/>
            </w:pPr>
            <w:r/>
            <w:r>
              <w:rPr>
                <w:rFonts w:ascii="Aptos" w:hAnsi="Aptos"/>
                <w:b w:val="0"/>
                <w:sz w:val="15"/>
              </w:rPr>
              <w:t>After multiple-test adjustment, q &lt; 0.05 and at least 3 publishers.</w:t>
            </w:r>
          </w:p>
        </w:tc>
      </w:tr>
      <w:tr>
        <w:tc>
          <w:tcPr>
            <w:tcW w:type="dxa" w:w="1872"/>
            <w:vAlign w:val="center"/>
          </w:tcPr>
          <w:p>
            <w:pPr>
              <w:spacing w:after="20" w:before="20"/>
            </w:pPr>
            <w:r/>
            <w:r>
              <w:rPr>
                <w:rFonts w:ascii="Aptos" w:hAnsi="Aptos"/>
                <w:b w:val="0"/>
                <w:sz w:val="15"/>
              </w:rPr>
              <w:t>High severity</w:t>
            </w:r>
          </w:p>
        </w:tc>
        <w:tc>
          <w:tcPr>
            <w:tcW w:type="dxa" w:w="7920"/>
            <w:vAlign w:val="center"/>
          </w:tcPr>
          <w:p>
            <w:pPr>
              <w:spacing w:after="20" w:before="20"/>
            </w:pPr>
            <w:r/>
            <w:r>
              <w:rPr>
                <w:rFonts w:ascii="Aptos" w:hAnsi="Aptos"/>
                <w:b w:val="0"/>
                <w:sz w:val="15"/>
              </w:rPr>
              <w:t>q &lt; 0.01 and at least 6 publishers.</w:t>
            </w:r>
          </w:p>
        </w:tc>
      </w:tr>
    </w:tbl>
    <w:p>
      <w:pPr>
        <w:spacing w:after="20"/>
      </w:pPr>
    </w:p>
    <w:p>
      <w:pPr>
        <w:pStyle w:val="Heading2"/>
      </w:pPr>
      <w:r>
        <w:t>5.2 New development: recent coverage changes meaning</w:t>
      </w:r>
    </w:p>
    <w:p>
      <w:r>
        <w:t>This looks inside an established event for a coherent new angle. It compares new articles from the latest 24 hours with the older coverage. It does not decide whether the change is important to people; it detects a semantic shift in article embeddings.</w:t>
      </w:r>
    </w:p>
    <w:p>
      <w:pPr>
        <w:pStyle w:val="ListBullet"/>
      </w:pPr>
      <w:r>
        <w:t>The established event needs at least 8 articles and 3 publishers, a high-confidence location, and must not be D00.</w:t>
      </w:r>
    </w:p>
    <w:p>
      <w:pPr>
        <w:pStyle w:val="ListBullet"/>
      </w:pPr>
      <w:r>
        <w:t>The recent group needs at least 3 new articles from at least 2 publishers. At least 80% of the event’s articles must have usable embeddings for the test.</w:t>
      </w:r>
    </w:p>
    <w:p>
      <w:pPr>
        <w:pStyle w:val="ListBullet"/>
      </w:pPr>
      <w:r>
        <w:t>For each old article, compare it with a centroid made from the other old articles (leave-one-out). Compare recent articles with the old centroid. Run a one-sided Mann–Whitney U rank test to see whether recent similarity is lower.</w:t>
      </w:r>
    </w:p>
    <w:p>
      <w:pPr>
        <w:pStyle w:val="ListBullet"/>
      </w:pPr>
      <w:r>
        <w:t>Require the median recent similarity to be below the 10th percentile of old-article similarities, and require mean similarity of recent articles to their own centroid to be at least 0.75 (the new group must be coherent).</w:t>
      </w:r>
    </w:p>
    <w:p>
      <w:pPr>
        <w:pStyle w:val="ListBullet"/>
      </w:pPr>
      <w:r>
        <w:t>Adjust p-values across the tested events; flag when q &lt; 0.05 and both the shift and coherence requirements pass. Up to 200 events are tested per run.</w:t>
      </w:r>
    </w:p>
    <w:p>
      <w:pPr>
        <w:pStyle w:val="Heading2"/>
      </w:pPr>
      <w:r>
        <w:t>5.3 Topic surge: a topic is unusually busy in a country</w:t>
      </w:r>
    </w:p>
    <w:p>
      <w:r>
        <w:t>For each country/AOI, topic and day, the system compares the observed article count V with a negative-binomial baseline fitted to earlier days. The tested day is excluded from its own baseline. The baseline accounts for the volume of other labelled news in the same area (exposure), so a general rise in collected news is less likely to look like a topic-only spike.</w:t>
      </w:r>
    </w:p>
    <w:tbl>
      <w:tblPr>
        <w:tblW w:type="auto" w:w="0"/>
        <w:tblLook w:firstColumn="1" w:firstRow="1" w:lastColumn="0" w:lastRow="0" w:noHBand="0" w:noVBand="1" w:val="04A0"/>
      </w:tblPr>
      <w:tblGrid>
        <w:gridCol w:w="10166"/>
      </w:tblGrid>
      <w:tr>
        <w:tc>
          <w:tcPr>
            <w:tcW w:type="dxa" w:w="10166"/>
            <w:shd w:fill="F1F5F7"/>
          </w:tcPr>
          <w:p>
            <w:pPr>
              <w:spacing w:before="100" w:after="100"/>
              <w:jc w:val="center"/>
            </w:pPr>
            <w:r/>
            <w:r>
              <w:rPr>
                <w:rFonts w:ascii="Consolas" w:hAnsi="Consolas"/>
                <w:b/>
                <w:color w:val="14334B"/>
                <w:sz w:val="20"/>
              </w:rPr>
              <w:t>surprise = −log10(P(X ≥ V | fitted baseline))</w:t>
            </w:r>
          </w:p>
        </w:tc>
      </w:tr>
    </w:tbl>
    <w:p>
      <w:pPr>
        <w:spacing w:after="20"/>
      </w:pPr>
    </w:p>
    <w:p>
      <w:pPr>
        <w:pStyle w:val="ListBullet"/>
      </w:pPr>
      <w:r>
        <w:t>Support: at least 100 labelled in-scope articles for the AOI; at least 20 total articles for the topic; at least 30 in-scope articles that day; at least 7 usable earlier baseline days; baseline mean at least 0.5; and observed V at least 3.</w:t>
      </w:r>
    </w:p>
    <w:p>
      <w:pPr>
        <w:pStyle w:val="ListBullet"/>
      </w:pPr>
      <w:r>
        <w:t>The baseline uses up to 28 prior days, exposure smoothing over 7 days, and a drift adjustment. Exposure scaling is capped from one-third to 3 times. If the count data do not support a negative-binomial dispersion fit, a Poisson fallback is used and recorded.</w:t>
      </w:r>
    </w:p>
    <w:p>
      <w:pPr>
        <w:pStyle w:val="ListBullet"/>
      </w:pPr>
      <w:r>
        <w:t>For multiple testing, use mid-p = P(X &gt; V) + 0.5 × P(X = V), then Benjamini–Hochberg adjust across supported topic/category tests for the same country/AOI and day.</w:t>
      </w:r>
    </w:p>
    <w:p>
      <w:pPr>
        <w:pStyle w:val="ListBullet"/>
      </w:pPr>
      <w:r>
        <w:t>Alert: q &lt; 0.05 and V at least 2× the expected baseline. High severity: q &lt; 0.01 and V at least 10.</w:t>
      </w:r>
    </w:p>
    <w:p>
      <w:pPr>
        <w:pStyle w:val="Heading2"/>
      </w:pPr>
      <w:r>
        <w:t>5.4 What does q &lt; 0.05 mean?</w:t>
      </w:r>
    </w:p>
    <w:p>
      <w:r>
        <w:t>Many candidate stories and topics are tested. Some can look unusual by chance, so the p-values are adjusted using Benjamini–Hochberg (BH). For sorted p-values p(1)…p(m), the adjusted value is the monotone, capped version of m × p(i) / i. The configured q &lt; 0.05 cutoff controls the expected false-discovery proportion across the stated test family under BH assumptions. It is not a 95% chance that this specific story is true, important, or causal.</w:t>
      </w:r>
    </w:p>
    <w:p>
      <w:pPr>
        <w:pStyle w:val="Heading1"/>
      </w:pPr>
      <w:r>
        <w:t>6. All thresholds used by the Trending decision</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76B87"/>
          </w:tcPr>
          <w:p>
            <w:pPr>
              <w:spacing w:after="20" w:before="20"/>
            </w:pPr>
            <w:r/>
            <w:r>
              <w:rPr>
                <w:rFonts w:ascii="Aptos" w:hAnsi="Aptos"/>
                <w:b/>
                <w:color w:val="FFFFFF"/>
                <w:sz w:val="15"/>
              </w:rPr>
              <w:t>Part of decision</w:t>
            </w:r>
          </w:p>
        </w:tc>
        <w:tc>
          <w:tcPr>
            <w:tcW w:type="dxa" w:w="7344"/>
            <w:vAlign w:val="center"/>
            <w:shd w:fill="176B87"/>
          </w:tcPr>
          <w:p>
            <w:pPr>
              <w:spacing w:after="20" w:before="20"/>
            </w:pPr>
            <w:r/>
            <w:r>
              <w:rPr>
                <w:rFonts w:ascii="Aptos" w:hAnsi="Aptos"/>
                <w:b/>
                <w:color w:val="FFFFFF"/>
                <w:sz w:val="15"/>
              </w:rPr>
              <w:t>Threshold</w:t>
            </w:r>
          </w:p>
        </w:tc>
      </w:tr>
      <w:tr>
        <w:tc>
          <w:tcPr>
            <w:tcW w:type="dxa" w:w="2448"/>
            <w:vAlign w:val="center"/>
          </w:tcPr>
          <w:p>
            <w:pPr>
              <w:spacing w:after="20" w:before="20"/>
            </w:pPr>
            <w:r/>
            <w:r>
              <w:rPr>
                <w:rFonts w:ascii="Aptos" w:hAnsi="Aptos"/>
                <w:b w:val="0"/>
                <w:sz w:val="15"/>
              </w:rPr>
              <w:t>Article clustering</w:t>
            </w:r>
          </w:p>
        </w:tc>
        <w:tc>
          <w:tcPr>
            <w:tcW w:type="dxa" w:w="7344"/>
            <w:vAlign w:val="center"/>
          </w:tcPr>
          <w:p>
            <w:pPr>
              <w:spacing w:after="20" w:before="20"/>
            </w:pPr>
            <w:r/>
            <w:r>
              <w:rPr>
                <w:rFonts w:ascii="Aptos" w:hAnsi="Aptos"/>
                <w:b w:val="0"/>
                <w:sz w:val="15"/>
              </w:rPr>
              <w:t>Cosine similarity ≥ 0.80; cluster time limit 72 hours.</w:t>
            </w:r>
          </w:p>
        </w:tc>
      </w:tr>
      <w:tr>
        <w:tc>
          <w:tcPr>
            <w:tcW w:type="dxa" w:w="2448"/>
            <w:vAlign w:val="center"/>
            <w:shd w:fill="F0F5F7"/>
          </w:tcPr>
          <w:p>
            <w:pPr>
              <w:spacing w:after="20" w:before="20"/>
            </w:pPr>
            <w:r/>
            <w:r>
              <w:rPr>
                <w:rFonts w:ascii="Aptos" w:hAnsi="Aptos"/>
                <w:b w:val="0"/>
                <w:sz w:val="15"/>
              </w:rPr>
              <w:t>Qualifying event</w:t>
            </w:r>
          </w:p>
        </w:tc>
        <w:tc>
          <w:tcPr>
            <w:tcW w:type="dxa" w:w="7344"/>
            <w:vAlign w:val="center"/>
            <w:shd w:fill="F0F5F7"/>
          </w:tcPr>
          <w:p>
            <w:pPr>
              <w:spacing w:after="20" w:before="20"/>
            </w:pPr>
            <w:r/>
            <w:r>
              <w:rPr>
                <w:rFonts w:ascii="Aptos" w:hAnsi="Aptos"/>
                <w:b w:val="0"/>
                <w:sz w:val="15"/>
              </w:rPr>
              <w:t>At least 3 unique articles and 2 publishers.</w:t>
            </w:r>
          </w:p>
        </w:tc>
      </w:tr>
      <w:tr>
        <w:tc>
          <w:tcPr>
            <w:tcW w:type="dxa" w:w="2448"/>
            <w:vAlign w:val="center"/>
          </w:tcPr>
          <w:p>
            <w:pPr>
              <w:spacing w:after="20" w:before="20"/>
            </w:pPr>
            <w:r/>
            <w:r>
              <w:rPr>
                <w:rFonts w:ascii="Aptos" w:hAnsi="Aptos"/>
                <w:b w:val="0"/>
                <w:sz w:val="15"/>
              </w:rPr>
              <w:t>Merge events into a story</w:t>
            </w:r>
          </w:p>
        </w:tc>
        <w:tc>
          <w:tcPr>
            <w:tcW w:type="dxa" w:w="7344"/>
            <w:vAlign w:val="center"/>
          </w:tcPr>
          <w:p>
            <w:pPr>
              <w:spacing w:after="20" w:before="20"/>
            </w:pPr>
            <w:r/>
            <w:r>
              <w:rPr>
                <w:rFonts w:ascii="Aptos" w:hAnsi="Aptos"/>
                <w:b w:val="0"/>
                <w:sz w:val="15"/>
              </w:rPr>
              <w:t>Cosine similarity ≥ 0.90; event time ranges overlap or are within 72 hours.</w:t>
            </w:r>
          </w:p>
        </w:tc>
      </w:tr>
      <w:tr>
        <w:tc>
          <w:tcPr>
            <w:tcW w:type="dxa" w:w="2448"/>
            <w:vAlign w:val="center"/>
            <w:shd w:fill="F0F5F7"/>
          </w:tcPr>
          <w:p>
            <w:pPr>
              <w:spacing w:after="20" w:before="20"/>
            </w:pPr>
            <w:r/>
            <w:r>
              <w:rPr>
                <w:rFonts w:ascii="Aptos" w:hAnsi="Aptos"/>
                <w:b w:val="0"/>
                <w:sz w:val="15"/>
              </w:rPr>
              <w:t>Related-story display</w:t>
            </w:r>
          </w:p>
        </w:tc>
        <w:tc>
          <w:tcPr>
            <w:tcW w:type="dxa" w:w="7344"/>
            <w:vAlign w:val="center"/>
            <w:shd w:fill="F0F5F7"/>
          </w:tcPr>
          <w:p>
            <w:pPr>
              <w:spacing w:after="20" w:before="20"/>
            </w:pPr>
            <w:r/>
            <w:r>
              <w:rPr>
                <w:rFonts w:ascii="Aptos" w:hAnsi="Aptos"/>
                <w:b w:val="0"/>
                <w:sz w:val="15"/>
              </w:rPr>
              <w:t>Cosine similarity ≥ 0.88; related stories are folded only under an already-listed story.</w:t>
            </w:r>
          </w:p>
        </w:tc>
      </w:tr>
      <w:tr>
        <w:tc>
          <w:tcPr>
            <w:tcW w:type="dxa" w:w="2448"/>
            <w:vAlign w:val="center"/>
          </w:tcPr>
          <w:p>
            <w:pPr>
              <w:spacing w:after="20" w:before="20"/>
            </w:pPr>
            <w:r/>
            <w:r>
              <w:rPr>
                <w:rFonts w:ascii="Aptos" w:hAnsi="Aptos"/>
                <w:b w:val="0"/>
                <w:sz w:val="15"/>
              </w:rPr>
              <w:t>Minimum recent activity</w:t>
            </w:r>
          </w:p>
        </w:tc>
        <w:tc>
          <w:tcPr>
            <w:tcW w:type="dxa" w:w="7344"/>
            <w:vAlign w:val="center"/>
          </w:tcPr>
          <w:p>
            <w:pPr>
              <w:spacing w:after="20" w:before="20"/>
            </w:pPr>
            <w:r/>
            <w:r>
              <w:rPr>
                <w:rFonts w:ascii="Aptos" w:hAnsi="Aptos"/>
                <w:b w:val="0"/>
                <w:sz w:val="15"/>
              </w:rPr>
              <w:t>At least 3 articles and 2 publishers in the selected period.</w:t>
            </w:r>
          </w:p>
        </w:tc>
      </w:tr>
      <w:tr>
        <w:tc>
          <w:tcPr>
            <w:tcW w:type="dxa" w:w="2448"/>
            <w:vAlign w:val="center"/>
            <w:shd w:fill="F0F5F7"/>
          </w:tcPr>
          <w:p>
            <w:pPr>
              <w:spacing w:after="20" w:before="20"/>
            </w:pPr>
            <w:r/>
            <w:r>
              <w:rPr>
                <w:rFonts w:ascii="Aptos" w:hAnsi="Aptos"/>
                <w:b w:val="0"/>
                <w:sz w:val="15"/>
              </w:rPr>
              <w:t>Growth availability</w:t>
            </w:r>
          </w:p>
        </w:tc>
        <w:tc>
          <w:tcPr>
            <w:tcW w:type="dxa" w:w="7344"/>
            <w:vAlign w:val="center"/>
            <w:shd w:fill="F0F5F7"/>
          </w:tcPr>
          <w:p>
            <w:pPr>
              <w:spacing w:after="20" w:before="20"/>
            </w:pPr>
            <w:r/>
            <w:r>
              <w:rPr>
                <w:rFonts w:ascii="Aptos" w:hAnsi="Aptos"/>
                <w:b w:val="0"/>
                <w:sz w:val="15"/>
              </w:rPr>
              <w:t>At least 5 articles across current and previous equal-length periods; earlier period must be covered.</w:t>
            </w:r>
          </w:p>
        </w:tc>
      </w:tr>
      <w:tr>
        <w:tc>
          <w:tcPr>
            <w:tcW w:type="dxa" w:w="2448"/>
            <w:vAlign w:val="center"/>
          </w:tcPr>
          <w:p>
            <w:pPr>
              <w:spacing w:after="20" w:before="20"/>
            </w:pPr>
            <w:r/>
            <w:r>
              <w:rPr>
                <w:rFonts w:ascii="Aptos" w:hAnsi="Aptos"/>
                <w:b w:val="0"/>
                <w:sz w:val="15"/>
              </w:rPr>
              <w:t>Country membership</w:t>
            </w:r>
          </w:p>
        </w:tc>
        <w:tc>
          <w:tcPr>
            <w:tcW w:type="dxa" w:w="7344"/>
            <w:vAlign w:val="center"/>
          </w:tcPr>
          <w:p>
            <w:pPr>
              <w:spacing w:after="20" w:before="20"/>
            </w:pPr>
            <w:r/>
            <w:r>
              <w:rPr>
                <w:rFonts w:ascii="Aptos" w:hAnsi="Aptos"/>
                <w:b w:val="0"/>
                <w:sz w:val="15"/>
              </w:rPr>
              <w:t>60% of located articles; at least 2 located articles; at least 25% of whole story.</w:t>
            </w:r>
          </w:p>
        </w:tc>
      </w:tr>
      <w:tr>
        <w:tc>
          <w:tcPr>
            <w:tcW w:type="dxa" w:w="2448"/>
            <w:vAlign w:val="center"/>
            <w:shd w:fill="F0F5F7"/>
          </w:tcPr>
          <w:p>
            <w:pPr>
              <w:spacing w:after="20" w:before="20"/>
            </w:pPr>
            <w:r/>
            <w:r>
              <w:rPr>
                <w:rFonts w:ascii="Aptos" w:hAnsi="Aptos"/>
                <w:b w:val="0"/>
                <w:sz w:val="15"/>
              </w:rPr>
              <w:t>Taxonomy membership</w:t>
            </w:r>
          </w:p>
        </w:tc>
        <w:tc>
          <w:tcPr>
            <w:tcW w:type="dxa" w:w="7344"/>
            <w:vAlign w:val="center"/>
            <w:shd w:fill="F0F5F7"/>
          </w:tcPr>
          <w:p>
            <w:pPr>
              <w:spacing w:after="20" w:before="20"/>
            </w:pPr>
            <w:r/>
            <w:r>
              <w:rPr>
                <w:rFonts w:ascii="Aptos" w:hAnsi="Aptos"/>
                <w:b w:val="0"/>
                <w:sz w:val="15"/>
              </w:rPr>
              <w:t>Strict majority: more than 50% of labelled articles agree at the selected level.</w:t>
            </w:r>
          </w:p>
        </w:tc>
      </w:tr>
      <w:tr>
        <w:tc>
          <w:tcPr>
            <w:tcW w:type="dxa" w:w="2448"/>
            <w:vAlign w:val="center"/>
          </w:tcPr>
          <w:p>
            <w:pPr>
              <w:spacing w:after="20" w:before="20"/>
            </w:pPr>
            <w:r/>
            <w:r>
              <w:rPr>
                <w:rFonts w:ascii="Aptos" w:hAnsi="Aptos"/>
                <w:b w:val="0"/>
                <w:sz w:val="15"/>
              </w:rPr>
              <w:t>Relevance check</w:t>
            </w:r>
          </w:p>
        </w:tc>
        <w:tc>
          <w:tcPr>
            <w:tcW w:type="dxa" w:w="7344"/>
            <w:vAlign w:val="center"/>
          </w:tcPr>
          <w:p>
            <w:pPr>
              <w:spacing w:after="20" w:before="20"/>
            </w:pPr>
            <w:r/>
            <w:r>
              <w:rPr>
                <w:rFonts w:ascii="Aptos" w:hAnsi="Aptos"/>
                <w:b w:val="0"/>
                <w:sz w:val="15"/>
              </w:rPr>
              <w:t>Mean similarity of 5 nearest examples ≥ 0.65; selected-domain vote share ≥ 30% of 10 nearest, when scored.</w:t>
            </w:r>
          </w:p>
        </w:tc>
      </w:tr>
      <w:tr>
        <w:tc>
          <w:tcPr>
            <w:tcW w:type="dxa" w:w="2448"/>
            <w:vAlign w:val="center"/>
            <w:shd w:fill="F0F5F7"/>
          </w:tcPr>
          <w:p>
            <w:pPr>
              <w:spacing w:after="20" w:before="20"/>
            </w:pPr>
            <w:r/>
            <w:r>
              <w:rPr>
                <w:rFonts w:ascii="Aptos" w:hAnsi="Aptos"/>
                <w:b w:val="0"/>
                <w:sz w:val="15"/>
              </w:rPr>
              <w:t>Score weights</w:t>
            </w:r>
          </w:p>
        </w:tc>
        <w:tc>
          <w:tcPr>
            <w:tcW w:type="dxa" w:w="7344"/>
            <w:vAlign w:val="center"/>
            <w:shd w:fill="F0F5F7"/>
          </w:tcPr>
          <w:p>
            <w:pPr>
              <w:spacing w:after="20" w:before="20"/>
            </w:pPr>
            <w:r/>
            <w:r>
              <w:rPr>
                <w:rFonts w:ascii="Aptos" w:hAnsi="Aptos"/>
                <w:b w:val="0"/>
                <w:sz w:val="15"/>
              </w:rPr>
              <w:t>Volume 30%; breadth 30%; growth 20%; recency 10%; evidence 10%.</w:t>
            </w:r>
          </w:p>
        </w:tc>
      </w:tr>
      <w:tr>
        <w:tc>
          <w:tcPr>
            <w:tcW w:type="dxa" w:w="2448"/>
            <w:vAlign w:val="center"/>
          </w:tcPr>
          <w:p>
            <w:pPr>
              <w:spacing w:after="20" w:before="20"/>
            </w:pPr>
            <w:r/>
            <w:r>
              <w:rPr>
                <w:rFonts w:ascii="Aptos" w:hAnsi="Aptos"/>
                <w:b w:val="0"/>
                <w:sz w:val="15"/>
              </w:rPr>
              <w:t>Evidence FDR</w:t>
            </w:r>
          </w:p>
        </w:tc>
        <w:tc>
          <w:tcPr>
            <w:tcW w:type="dxa" w:w="7344"/>
            <w:vAlign w:val="center"/>
          </w:tcPr>
          <w:p>
            <w:pPr>
              <w:spacing w:after="20" w:before="20"/>
            </w:pPr>
            <w:r/>
            <w:r>
              <w:rPr>
                <w:rFonts w:ascii="Aptos" w:hAnsi="Aptos"/>
                <w:b w:val="0"/>
                <w:sz w:val="15"/>
              </w:rPr>
              <w:t>BH q &lt; 0.05; high alert q &lt; 0.01 plus the signal-specific volume/publisher floor.</w:t>
            </w:r>
          </w:p>
        </w:tc>
      </w:tr>
      <w:tr>
        <w:tc>
          <w:tcPr>
            <w:tcW w:type="dxa" w:w="2448"/>
            <w:vAlign w:val="center"/>
            <w:shd w:fill="F0F5F7"/>
          </w:tcPr>
          <w:p>
            <w:pPr>
              <w:spacing w:after="20" w:before="20"/>
            </w:pPr>
            <w:r/>
            <w:r>
              <w:rPr>
                <w:rFonts w:ascii="Aptos" w:hAnsi="Aptos"/>
                <w:b w:val="0"/>
                <w:sz w:val="15"/>
              </w:rPr>
              <w:t>Evidence reference minimum</w:t>
            </w:r>
          </w:p>
        </w:tc>
        <w:tc>
          <w:tcPr>
            <w:tcW w:type="dxa" w:w="7344"/>
            <w:vAlign w:val="center"/>
            <w:shd w:fill="F0F5F7"/>
          </w:tcPr>
          <w:p>
            <w:pPr>
              <w:spacing w:after="20" w:before="20"/>
            </w:pPr>
            <w:r/>
            <w:r>
              <w:rPr>
                <w:rFonts w:ascii="Aptos" w:hAnsi="Aptos"/>
                <w:b w:val="0"/>
                <w:sz w:val="15"/>
              </w:rPr>
              <w:t>At least 50 comparable events for emerging-event test; at least 50 prior story-windows for typical-coverage text.</w:t>
            </w:r>
          </w:p>
        </w:tc>
      </w:tr>
      <w:tr>
        <w:tc>
          <w:tcPr>
            <w:tcW w:type="dxa" w:w="2448"/>
            <w:vAlign w:val="center"/>
          </w:tcPr>
          <w:p>
            <w:pPr>
              <w:spacing w:after="20" w:before="20"/>
            </w:pPr>
            <w:r/>
            <w:r>
              <w:rPr>
                <w:rFonts w:ascii="Aptos" w:hAnsi="Aptos"/>
                <w:b w:val="0"/>
                <w:sz w:val="15"/>
              </w:rPr>
              <w:t>List size</w:t>
            </w:r>
          </w:p>
        </w:tc>
        <w:tc>
          <w:tcPr>
            <w:tcW w:type="dxa" w:w="7344"/>
            <w:vAlign w:val="center"/>
          </w:tcPr>
          <w:p>
            <w:pPr>
              <w:spacing w:after="20" w:before="20"/>
            </w:pPr>
            <w:r/>
            <w:r>
              <w:rPr>
                <w:rFonts w:ascii="Aptos" w:hAnsi="Aptos"/>
                <w:b w:val="0"/>
                <w:sz w:val="15"/>
              </w:rPr>
              <w:t>10 stories initially; 30 maximum.</w:t>
            </w:r>
          </w:p>
        </w:tc>
      </w:tr>
    </w:tbl>
    <w:p>
      <w:pPr>
        <w:spacing w:after="20"/>
      </w:pPr>
    </w:p>
    <w:p>
      <w:pPr>
        <w:pStyle w:val="Heading1"/>
      </w:pPr>
      <w:r>
        <w:t>7. How to read results responsibly</w:t>
      </w:r>
    </w:p>
    <w:p>
      <w:pPr>
        <w:pStyle w:val="ListBullet"/>
      </w:pPr>
      <w:r>
        <w:t>A high score means “ranks high against other eligible stories in this selection and period.” It is not an absolute threshold or a probability.</w:t>
      </w:r>
    </w:p>
    <w:p>
      <w:pPr>
        <w:pStyle w:val="ListBullet"/>
      </w:pPr>
      <w:r>
        <w:t>No story shown means no story passed the selected filters and minimums in the data available to the page. It does not mean no news happened.</w:t>
      </w:r>
    </w:p>
    <w:p>
      <w:pPr>
        <w:pStyle w:val="ListBullet"/>
      </w:pPr>
      <w:r>
        <w:t>Publisher count uses distinct domains. Different domains are not always independent reporting; syndicated copies can make breadth look larger than independent confirmation.</w:t>
      </w:r>
    </w:p>
    <w:p>
      <w:pPr>
        <w:pStyle w:val="ListBullet"/>
      </w:pPr>
      <w:r>
        <w:t>Event location comes from machine-extracted GDELT event location and can be missing or wrong. Topic labels come from the upstream classifier and can also be wrong.</w:t>
      </w:r>
    </w:p>
    <w:p>
      <w:pPr>
        <w:pStyle w:val="ListBullet"/>
      </w:pPr>
      <w:r>
        <w:t>Embedding similarity can merge unrelated coverage or split one continuing story. Connected-component merging is transitive: A may link to B and B to C, joining all three even if A and C are not directly similar enough.</w:t>
      </w:r>
    </w:p>
    <w:p>
      <w:pPr>
        <w:pStyle w:val="ListBullet"/>
      </w:pPr>
      <w:r>
        <w:t>Statistical alerts indicate unusual patterns against configured reference data; they do not establish cause, public importance, or truth.</w:t>
      </w:r>
    </w:p>
    <w:p>
      <w:pPr>
        <w:pStyle w:val="Heading1"/>
      </w:pPr>
      <w:r>
        <w:t>8. What reviewers can validate</w:t>
      </w:r>
    </w:p>
    <w:p>
      <w:pPr>
        <w:pStyle w:val="ListBullet"/>
      </w:pPr>
      <w:r>
        <w:t>Are the 0.80 article-cluster and 0.90 story-merge similarity thresholds appropriate? Review examples of incorrect merges and missed merges.</w:t>
      </w:r>
    </w:p>
    <w:p>
      <w:pPr>
        <w:pStyle w:val="ListBullet"/>
      </w:pPr>
      <w:r>
        <w:t>Are the minimums of 3 articles/2 publishers for a Trending candidate suitable for the intended users?</w:t>
      </w:r>
    </w:p>
    <w:p>
      <w:pPr>
        <w:pStyle w:val="ListBullet"/>
      </w:pPr>
      <w:r>
        <w:t>Are the 30/30/20/10/10 score weights appropriate, or should evidence be a badge rather than affect ordering?</w:t>
      </w:r>
    </w:p>
    <w:p>
      <w:pPr>
        <w:pStyle w:val="ListBullet"/>
      </w:pPr>
      <w:r>
        <w:t>Do the three statistical tests and their support gates produce useful evidence on manually reviewed examples?</w:t>
      </w:r>
    </w:p>
    <w:p>
      <w:pPr>
        <w:pStyle w:val="ListBullet"/>
      </w:pPr>
      <w:r>
        <w:t>What labelled evaluation set and acceptance measures should be required before treating Trending results as dependable?</w:t>
      </w:r>
    </w:p>
    <w:p>
      <w:pPr>
        <w:pStyle w:val="Heading1"/>
      </w:pPr>
      <w:r>
        <w:t>Relevant source files</w:t>
      </w:r>
    </w:p>
    <w:tbl>
      <w:tblPr>
        <w:tblStyle w:val="TableGrid"/>
        <w:tblW w:type="auto" w:w="0"/>
        <w:jc w:val="center"/>
        <w:tblLook w:firstColumn="1" w:firstRow="1" w:lastColumn="0" w:lastRow="0" w:noHBand="0" w:noVBand="1" w:val="04A0"/>
      </w:tblPr>
      <w:tblGrid>
        <w:gridCol w:w="5083"/>
        <w:gridCol w:w="5083"/>
      </w:tblGrid>
      <w:tr>
        <w:tc>
          <w:tcPr>
            <w:tcW w:type="dxa" w:w="4104"/>
            <w:vAlign w:val="center"/>
            <w:shd w:fill="176B87"/>
          </w:tcPr>
          <w:p>
            <w:pPr>
              <w:spacing w:after="20" w:before="20"/>
            </w:pPr>
            <w:r/>
            <w:r>
              <w:rPr>
                <w:rFonts w:ascii="Aptos" w:hAnsi="Aptos"/>
                <w:b/>
                <w:color w:val="FFFFFF"/>
                <w:sz w:val="15"/>
              </w:rPr>
              <w:t>File</w:t>
            </w:r>
          </w:p>
        </w:tc>
        <w:tc>
          <w:tcPr>
            <w:tcW w:type="dxa" w:w="5688"/>
            <w:vAlign w:val="center"/>
            <w:shd w:fill="176B87"/>
          </w:tcPr>
          <w:p>
            <w:pPr>
              <w:spacing w:after="20" w:before="20"/>
            </w:pPr>
            <w:r/>
            <w:r>
              <w:rPr>
                <w:rFonts w:ascii="Aptos" w:hAnsi="Aptos"/>
                <w:b/>
                <w:color w:val="FFFFFF"/>
                <w:sz w:val="15"/>
              </w:rPr>
              <w:t>What it controls</w:t>
            </w:r>
          </w:p>
        </w:tc>
      </w:tr>
      <w:tr>
        <w:tc>
          <w:tcPr>
            <w:tcW w:type="dxa" w:w="4104"/>
            <w:vAlign w:val="center"/>
          </w:tcPr>
          <w:p>
            <w:pPr>
              <w:spacing w:after="20" w:before="20"/>
            </w:pPr>
            <w:r/>
            <w:r>
              <w:rPr>
                <w:rFonts w:ascii="Aptos" w:hAnsi="Aptos"/>
                <w:b w:val="0"/>
                <w:sz w:val="15"/>
              </w:rPr>
              <w:t>scripts/lib/news_trending.py</w:t>
            </w:r>
          </w:p>
        </w:tc>
        <w:tc>
          <w:tcPr>
            <w:tcW w:type="dxa" w:w="5688"/>
            <w:vAlign w:val="center"/>
          </w:tcPr>
          <w:p>
            <w:pPr>
              <w:spacing w:after="20" w:before="20"/>
            </w:pPr>
            <w:r/>
            <w:r>
              <w:rPr>
                <w:rFonts w:ascii="Aptos" w:hAnsi="Aptos"/>
                <w:b w:val="0"/>
                <w:sz w:val="15"/>
              </w:rPr>
              <w:t>Story merge, selected-window counts, eligibility, relevance filtering, score calculation and evidence lookup.</w:t>
            </w:r>
          </w:p>
        </w:tc>
      </w:tr>
      <w:tr>
        <w:tc>
          <w:tcPr>
            <w:tcW w:type="dxa" w:w="4104"/>
            <w:vAlign w:val="center"/>
            <w:shd w:fill="F0F5F7"/>
          </w:tcPr>
          <w:p>
            <w:pPr>
              <w:spacing w:after="20" w:before="20"/>
            </w:pPr>
            <w:r/>
            <w:r>
              <w:rPr>
                <w:rFonts w:ascii="Aptos" w:hAnsi="Aptos"/>
                <w:b w:val="0"/>
                <w:sz w:val="15"/>
              </w:rPr>
              <w:t>scripts/lib/news_cluster.py</w:t>
            </w:r>
          </w:p>
        </w:tc>
        <w:tc>
          <w:tcPr>
            <w:tcW w:type="dxa" w:w="5688"/>
            <w:vAlign w:val="center"/>
            <w:shd w:fill="F0F5F7"/>
          </w:tcPr>
          <w:p>
            <w:pPr>
              <w:spacing w:after="20" w:before="20"/>
            </w:pPr>
            <w:r/>
            <w:r>
              <w:rPr>
                <w:rFonts w:ascii="Aptos" w:hAnsi="Aptos"/>
                <w:b w:val="0"/>
                <w:sz w:val="15"/>
              </w:rPr>
              <w:t>Article-to-event clustering.</w:t>
            </w:r>
          </w:p>
        </w:tc>
      </w:tr>
      <w:tr>
        <w:tc>
          <w:tcPr>
            <w:tcW w:type="dxa" w:w="4104"/>
            <w:vAlign w:val="center"/>
          </w:tcPr>
          <w:p>
            <w:pPr>
              <w:spacing w:after="20" w:before="20"/>
            </w:pPr>
            <w:r/>
            <w:r>
              <w:rPr>
                <w:rFonts w:ascii="Aptos" w:hAnsi="Aptos"/>
                <w:b w:val="0"/>
                <w:sz w:val="15"/>
              </w:rPr>
              <w:t>scripts/lib/news_config.py</w:t>
            </w:r>
          </w:p>
        </w:tc>
        <w:tc>
          <w:tcPr>
            <w:tcW w:type="dxa" w:w="5688"/>
            <w:vAlign w:val="center"/>
          </w:tcPr>
          <w:p>
            <w:pPr>
              <w:spacing w:after="20" w:before="20"/>
            </w:pPr>
            <w:r/>
            <w:r>
              <w:rPr>
                <w:rFonts w:ascii="Aptos" w:hAnsi="Aptos"/>
                <w:b w:val="0"/>
                <w:sz w:val="15"/>
              </w:rPr>
              <w:t>Thresholds and score weights listed in this document.</w:t>
            </w:r>
          </w:p>
        </w:tc>
      </w:tr>
      <w:tr>
        <w:tc>
          <w:tcPr>
            <w:tcW w:type="dxa" w:w="4104"/>
            <w:vAlign w:val="center"/>
            <w:shd w:fill="F0F5F7"/>
          </w:tcPr>
          <w:p>
            <w:pPr>
              <w:spacing w:after="20" w:before="20"/>
            </w:pPr>
            <w:r/>
            <w:r>
              <w:rPr>
                <w:rFonts w:ascii="Aptos" w:hAnsi="Aptos"/>
                <w:b w:val="0"/>
                <w:sz w:val="15"/>
              </w:rPr>
              <w:t>scripts/lib/news_events.py</w:t>
            </w:r>
          </w:p>
        </w:tc>
        <w:tc>
          <w:tcPr>
            <w:tcW w:type="dxa" w:w="5688"/>
            <w:vAlign w:val="center"/>
            <w:shd w:fill="F0F5F7"/>
          </w:tcPr>
          <w:p>
            <w:pPr>
              <w:spacing w:after="20" w:before="20"/>
            </w:pPr>
            <w:r/>
            <w:r>
              <w:rPr>
                <w:rFonts w:ascii="Aptos" w:hAnsi="Aptos"/>
                <w:b w:val="0"/>
                <w:sz w:val="15"/>
              </w:rPr>
              <w:t>Emerging-event and new-development tests.</w:t>
            </w:r>
          </w:p>
        </w:tc>
      </w:tr>
      <w:tr>
        <w:tc>
          <w:tcPr>
            <w:tcW w:type="dxa" w:w="4104"/>
            <w:vAlign w:val="center"/>
          </w:tcPr>
          <w:p>
            <w:pPr>
              <w:spacing w:after="20" w:before="20"/>
            </w:pPr>
            <w:r/>
            <w:r>
              <w:rPr>
                <w:rFonts w:ascii="Aptos" w:hAnsi="Aptos"/>
                <w:b w:val="0"/>
                <w:sz w:val="15"/>
              </w:rPr>
              <w:t>scripts/lib/news_metrics.py</w:t>
            </w:r>
          </w:p>
        </w:tc>
        <w:tc>
          <w:tcPr>
            <w:tcW w:type="dxa" w:w="5688"/>
            <w:vAlign w:val="center"/>
          </w:tcPr>
          <w:p>
            <w:pPr>
              <w:spacing w:after="20" w:before="20"/>
            </w:pPr>
            <w:r/>
            <w:r>
              <w:rPr>
                <w:rFonts w:ascii="Aptos" w:hAnsi="Aptos"/>
                <w:b w:val="0"/>
                <w:sz w:val="15"/>
              </w:rPr>
              <w:t>Topic-surge baseline, p/q values and alert gate.</w:t>
            </w:r>
          </w:p>
        </w:tc>
      </w:tr>
      <w:tr>
        <w:tc>
          <w:tcPr>
            <w:tcW w:type="dxa" w:w="4104"/>
            <w:vAlign w:val="center"/>
            <w:shd w:fill="F0F5F7"/>
          </w:tcPr>
          <w:p>
            <w:pPr>
              <w:spacing w:after="20" w:before="20"/>
            </w:pPr>
            <w:r/>
            <w:r>
              <w:rPr>
                <w:rFonts w:ascii="Aptos" w:hAnsi="Aptos"/>
                <w:b w:val="0"/>
                <w:sz w:val="15"/>
              </w:rPr>
              <w:t>scripts/lib/news_relevance.py</w:t>
            </w:r>
          </w:p>
        </w:tc>
        <w:tc>
          <w:tcPr>
            <w:tcW w:type="dxa" w:w="5688"/>
            <w:vAlign w:val="center"/>
            <w:shd w:fill="F0F5F7"/>
          </w:tcPr>
          <w:p>
            <w:pPr>
              <w:spacing w:after="20" w:before="20"/>
            </w:pPr>
            <w:r/>
            <w:r>
              <w:rPr>
                <w:rFonts w:ascii="Aptos" w:hAnsi="Aptos"/>
                <w:b w:val="0"/>
                <w:sz w:val="15"/>
              </w:rPr>
              <w:t>The Trending relevance check.</w:t>
            </w:r>
          </w:p>
        </w:tc>
      </w:tr>
      <w:tr>
        <w:tc>
          <w:tcPr>
            <w:tcW w:type="dxa" w:w="4104"/>
            <w:vAlign w:val="center"/>
          </w:tcPr>
          <w:p>
            <w:pPr>
              <w:spacing w:after="20" w:before="20"/>
            </w:pPr>
            <w:r/>
            <w:r>
              <w:rPr>
                <w:rFonts w:ascii="Aptos" w:hAnsi="Aptos"/>
                <w:b w:val="0"/>
                <w:sz w:val="15"/>
              </w:rPr>
              <w:t>UI/trending.html and UI/assets/trending.js</w:t>
            </w:r>
          </w:p>
        </w:tc>
        <w:tc>
          <w:tcPr>
            <w:tcW w:type="dxa" w:w="5688"/>
            <w:vAlign w:val="center"/>
          </w:tcPr>
          <w:p>
            <w:pPr>
              <w:spacing w:after="20" w:before="20"/>
            </w:pPr>
            <w:r/>
            <w:r>
              <w:rPr>
                <w:rFonts w:ascii="Aptos" w:hAnsi="Aptos"/>
                <w:b w:val="0"/>
                <w:sz w:val="15"/>
              </w:rPr>
              <w:t>The Trending page and its “How trending is decided” explanation.</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EAF3F6"/>
          </w:tcPr>
          <w:p>
            <w:pPr>
              <w:spacing w:after="40"/>
            </w:pPr>
            <w:r/>
            <w:r>
              <w:rPr>
                <w:b/>
                <w:color w:val="14334B"/>
                <w:sz w:val="20"/>
              </w:rPr>
              <w:t>One-line summary</w:t>
            </w:r>
          </w:p>
          <w:p>
            <w:pPr>
              <w:spacing w:after="60"/>
            </w:pPr>
            <w:r>
              <w:t>Trending first groups related coverage into stories, requires minimum recent multi-publisher activity, applies the selected country/topic filters, and ranks eligible stories using relative volume, breadth, growth, recency, and available statistical evidence.</w:t>
            </w:r>
          </w:p>
        </w:tc>
      </w:tr>
    </w:tbl>
    <w:p>
      <w:pPr>
        <w:spacing w:after="20"/>
      </w:pP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680"/>
        <w:sz w:val="16"/>
      </w:rPr>
      <w:t xml:space="preserve">News Trending overview • 26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7680"/>
        <w:sz w:val="16"/>
      </w:rPr>
      <w:t>NEWS TRENDING  |  HOW STORIES ARE RANKED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color w:val="2B35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4334B"/>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76B87"/>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eastAsia="Aptos Display"/>
      <w:b/>
      <w:color w:val="1433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