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  <w:shd w:fill="ffe599" w:val="clear"/>
        </w:rPr>
      </w:pPr>
      <w:r w:rsidDel="00000000" w:rsidR="00000000" w:rsidRPr="00000000">
        <w:rPr>
          <w:b w:val="1"/>
          <w:sz w:val="40"/>
          <w:szCs w:val="40"/>
          <w:u w:val="single"/>
          <w:shd w:fill="ffe599" w:val="clear"/>
          <w:rtl w:val="0"/>
        </w:rPr>
        <w:t xml:space="preserve">Walmart Sales Dashboard using Power BI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u w:val="single"/>
          <w:shd w:fill="ffe599" w:val="clear"/>
          <w:rtl w:val="0"/>
        </w:rPr>
        <w:t xml:space="preserve">Objective: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The goal of this project was to create a dashboard that visualizes key performance indicators (KPIs) for Walmart sales data, offering insights into sales trends, product performance, and regional metrics.</w:t>
      </w:r>
    </w:p>
    <w:p w:rsidR="00000000" w:rsidDel="00000000" w:rsidP="00000000" w:rsidRDefault="00000000" w:rsidRPr="00000000" w14:paraId="00000004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  <w:shd w:fill="ffe599" w:val="clear"/>
        </w:rPr>
      </w:pPr>
      <w:bookmarkStart w:colFirst="0" w:colLast="0" w:name="_sj5qibo3rmsk" w:id="0"/>
      <w:bookmarkEnd w:id="0"/>
      <w:r w:rsidDel="00000000" w:rsidR="00000000" w:rsidRPr="00000000">
        <w:rPr>
          <w:b w:val="1"/>
          <w:color w:val="000000"/>
          <w:sz w:val="30"/>
          <w:szCs w:val="30"/>
          <w:shd w:fill="ffe599" w:val="clear"/>
          <w:rtl w:val="0"/>
        </w:rPr>
        <w:t xml:space="preserve">Dataset Description: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Dataset Name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SuperStore Sales Dataset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Source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 The dataset contains various fields like product category, sales, profits, order date, segment, and region, allowing us to analyze different aspects of Walmart's sales performance.</w:t>
        <w:br w:type="textWrapping"/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Fields used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Sub-Category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Ship Mode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Order Date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Segment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Region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Sales, Profit, Quantity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  <w:shd w:fill="ffe599" w:val="clear"/>
        </w:rPr>
      </w:pPr>
      <w:bookmarkStart w:colFirst="0" w:colLast="0" w:name="_29gd7f3x5t40" w:id="1"/>
      <w:bookmarkEnd w:id="1"/>
      <w:r w:rsidDel="00000000" w:rsidR="00000000" w:rsidRPr="00000000">
        <w:rPr>
          <w:b w:val="1"/>
          <w:color w:val="000000"/>
          <w:sz w:val="30"/>
          <w:szCs w:val="30"/>
          <w:shd w:fill="ffe599" w:val="clear"/>
          <w:rtl w:val="0"/>
        </w:rPr>
        <w:t xml:space="preserve">Dashboard Overview: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The dashboard was created using Power BI and focuses on multiple metrics related to sales, profit, and customer segments.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0"/>
          <w:szCs w:val="30"/>
          <w:shd w:fill="ffe599" w:val="clear"/>
        </w:rPr>
      </w:pPr>
      <w:r w:rsidDel="00000000" w:rsidR="00000000" w:rsidRPr="00000000">
        <w:rPr>
          <w:b w:val="1"/>
          <w:sz w:val="30"/>
          <w:szCs w:val="30"/>
          <w:shd w:fill="ffe599" w:val="clear"/>
          <w:rtl w:val="0"/>
        </w:rPr>
        <w:t xml:space="preserve">Components</w:t>
      </w:r>
      <w:r w:rsidDel="00000000" w:rsidR="00000000" w:rsidRPr="00000000">
        <w:rPr>
          <w:sz w:val="30"/>
          <w:szCs w:val="30"/>
          <w:shd w:fill="ffe599" w:val="clear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Sales by Category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Visualizes sales based on the main product categories such as Office Supplies, Technology, and Furniture.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Insight: Office Supplies showed the highest sales with $0.64M.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Sales by Sub-Category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Shows the top-performing product sub-categories such as Phones, Chairs, and Binders.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Insight: Phones had the highest sales at $0.20M.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Sales by Ship Mode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Displays sales based on shipping modes, including Standard, Second Class, First Class, and Same Day shipping.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Insight: Standard Class shipping generated $0.91M in sales.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Sales and Profit by Month (2019-2020)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 time series analysis showing sales and profit trends across two years.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Insight: Sales peaked in December of each year, with significant profit spikes.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Sales by Segment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Divides sales into Consumer (48%), Corporate (33%), and Home Office (19%) segments.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Sales by Region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Visualizes sales based on the regions: West, East, South, and Central.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Insight: The West region showed the highest sales with 33%.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Sales by Payment Mode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Displays the distribution of sales based on payment methods: COD, Online, and Cards.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Insight: COD represented the highest share (43%) of sales.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Sales by State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Shows the geographical distribution of sales across various states.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Insight: California contributed the most with $0.34M in sales.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Sales Forecast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 15-day sales forecast was generated using historical data to project future sales trends.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Insight: Expected sales values for the next two weeks are also visualized.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  <w:shd w:fill="ffe599" w:val="clear"/>
        </w:rPr>
      </w:pPr>
      <w:bookmarkStart w:colFirst="0" w:colLast="0" w:name="_uwbf5tgxc2xy" w:id="2"/>
      <w:bookmarkEnd w:id="2"/>
      <w:r w:rsidDel="00000000" w:rsidR="00000000" w:rsidRPr="00000000">
        <w:rPr>
          <w:b w:val="1"/>
          <w:color w:val="000000"/>
          <w:sz w:val="30"/>
          <w:szCs w:val="30"/>
          <w:shd w:fill="ffe599" w:val="clear"/>
          <w:rtl w:val="0"/>
        </w:rPr>
        <w:t xml:space="preserve">Technologies Used: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Power BI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Used for data visualization and dashboard creation.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Dataset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 SuperStore Sales dataset in Excel format.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0"/>
          <w:szCs w:val="30"/>
          <w:shd w:fill="ffe599" w:val="clear"/>
        </w:rPr>
      </w:pPr>
      <w:r w:rsidDel="00000000" w:rsidR="00000000" w:rsidRPr="00000000">
        <w:rPr>
          <w:b w:val="1"/>
          <w:sz w:val="30"/>
          <w:szCs w:val="30"/>
          <w:shd w:fill="ffe599" w:val="clear"/>
          <w:rtl w:val="0"/>
        </w:rPr>
        <w:t xml:space="preserve">Insights &amp; Conclusion</w:t>
      </w:r>
      <w:r w:rsidDel="00000000" w:rsidR="00000000" w:rsidRPr="00000000">
        <w:rPr>
          <w:sz w:val="30"/>
          <w:szCs w:val="30"/>
          <w:shd w:fill="ffe599" w:val="clear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30"/>
          <w:szCs w:val="30"/>
          <w:shd w:fill="f3f3f3" w:val="clear"/>
        </w:rPr>
      </w:pPr>
      <w:r w:rsidDel="00000000" w:rsidR="00000000" w:rsidRPr="00000000">
        <w:rPr>
          <w:b w:val="1"/>
          <w:sz w:val="30"/>
          <w:szCs w:val="30"/>
          <w:shd w:fill="f3f3f3" w:val="clear"/>
          <w:rtl w:val="0"/>
        </w:rPr>
        <w:t xml:space="preserve">This dashboard provides a comprehensive view of Walmart’s sales performance, highlighting the top-performing categories, regional variations, and shipping preferences. The forecast offers useful predictions for future sales, helping the business optimize stock and shipping methods.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