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Lines/>
        <w:spacing w:after="140" w:line="252" w:lineRule="auto"/>
        <w:jc w:val="center"/>
      </w:pPr>
      <w:r>
        <w:rPr>
          <w:rFonts w:ascii="Times New Roman" w:hAnsi="Times New Roman"/>
          <w:b/>
          <w:color w:val="000000"/>
          <w:sz w:val="24"/>
        </w:rPr>
        <w:t>Rainfall and Flood Severity Model Comparison</w:t>
      </w:r>
    </w:p>
    <w:p>
      <w:pPr>
        <w:keepLines/>
        <w:spacing w:after="140" w:line="252" w:lineRule="auto"/>
        <w:jc w:val="center"/>
      </w:pPr>
      <w:r>
        <w:rPr>
          <w:rFonts w:ascii="Times New Roman" w:hAnsi="Times New Roman"/>
          <w:b/>
          <w:color w:val="000000"/>
          <w:sz w:val="24"/>
        </w:rPr>
        <w:t>XGBoost training and chronological evaluation</w:t>
      </w:r>
    </w:p>
    <w:p>
      <w:pPr>
        <w:pStyle w:val="Heading1"/>
        <w:keepNext/>
        <w:keepLines/>
        <w:pageBreakBefore w:val="0"/>
        <w:spacing w:after="140" w:line="252" w:lineRule="auto" w:before="160"/>
      </w:pPr>
      <w:r>
        <w:rPr>
          <w:rFonts w:ascii="Times New Roman" w:hAnsi="Times New Roman"/>
          <w:b/>
          <w:color w:val="000000"/>
          <w:sz w:val="24"/>
        </w:rPr>
        <w:t>1 Scope and main finding</w:t>
      </w:r>
    </w:p>
    <w:p>
      <w:pPr>
        <w:keepLines/>
        <w:spacing w:after="140" w:line="252" w:lineRule="auto"/>
      </w:pPr>
      <w:r>
        <w:rPr>
          <w:rFonts w:ascii="Times New Roman" w:hAnsi="Times New Roman"/>
          <w:b w:val="0"/>
          <w:color w:val="000000"/>
          <w:sz w:val="24"/>
        </w:rPr>
        <w:t>We trained two new XGBoost classifiers using real INDOFLOODS labels. The static version was selected using validation results. The rainfall version achieved higher recall and average precision on the final held-out events, but also more false severe classifications. Overall performance is modest and does not justify operational warning claims or replacing the website’s current model.</w:t>
      </w:r>
    </w:p>
    <w:tbl>
      <w:tblPr>
        <w:tblStyle w:val="TableGrid"/>
        <w:tblW w:type="auto" w:w="0"/>
        <w:tblLayout w:type="fixed"/>
        <w:tblLook w:firstColumn="1" w:firstRow="1" w:lastColumn="0" w:lastRow="0" w:noHBand="0" w:noVBand="1" w:val="04A0"/>
      </w:tblPr>
      <w:tblGrid>
        <w:gridCol w:w="2304"/>
        <w:gridCol w:w="7920"/>
      </w:tblGrid>
      <w:tr>
        <w:trPr>
          <w:tblHeader/>
          <w:cantSplit/>
        </w:trPr>
        <w:tc>
          <w:tcPr>
            <w:tcW w:type="dxa" w:w="2304"/>
            <w:shd w:fill="D9EAF7"/>
          </w:tcPr>
          <w:p>
            <w:pPr>
              <w:spacing w:after="60" w:line="252" w:lineRule="auto"/>
            </w:pPr>
            <w:r>
              <w:rPr>
                <w:rFonts w:ascii="Times New Roman" w:hAnsi="Times New Roman"/>
                <w:b/>
                <w:color w:val="000000"/>
                <w:sz w:val="24"/>
              </w:rPr>
              <w:t>Requested route</w:t>
            </w:r>
          </w:p>
        </w:tc>
        <w:tc>
          <w:tcPr>
            <w:tcW w:type="dxa" w:w="7920"/>
            <w:shd w:fill="D9EAF7"/>
          </w:tcPr>
          <w:p>
            <w:pPr>
              <w:spacing w:after="60" w:line="252" w:lineRule="auto"/>
            </w:pPr>
            <w:r>
              <w:rPr>
                <w:rFonts w:ascii="Times New Roman" w:hAnsi="Times New Roman"/>
                <w:b/>
                <w:color w:val="000000"/>
                <w:sz w:val="24"/>
              </w:rPr>
              <w:t>What the available files support</w:t>
            </w:r>
          </w:p>
        </w:tc>
      </w:tr>
      <w:tr>
        <w:trPr>
          <w:cantSplit/>
        </w:trPr>
        <w:tc>
          <w:tcPr>
            <w:tcW w:type="dxa" w:w="2304"/>
          </w:tcPr>
          <w:p>
            <w:pPr>
              <w:spacing w:after="60" w:line="252" w:lineRule="auto"/>
            </w:pPr>
            <w:r>
              <w:rPr>
                <w:rFonts w:ascii="Times New Roman" w:hAnsi="Times New Roman"/>
                <w:b w:val="0"/>
                <w:color w:val="000000"/>
                <w:sz w:val="24"/>
              </w:rPr>
              <w:t>Exact original task</w:t>
            </w:r>
          </w:p>
        </w:tc>
        <w:tc>
          <w:tcPr>
            <w:tcW w:type="dxa" w:w="7920"/>
          </w:tcPr>
          <w:p>
            <w:pPr>
              <w:spacing w:after="60" w:line="252" w:lineRule="auto"/>
            </w:pPr>
            <w:r>
              <w:rPr>
                <w:rFonts w:ascii="Times New Roman" w:hAnsi="Times New Roman"/>
                <w:b w:val="0"/>
                <w:color w:val="000000"/>
                <w:sz w:val="24"/>
              </w:rPr>
              <w:t>The old flood/no-flood target cannot be reproduced. All supplied INDOFLOODS rows are flood events, and the original model’s runoff curve-number input is absent.</w:t>
            </w:r>
          </w:p>
        </w:tc>
      </w:tr>
      <w:tr>
        <w:trPr>
          <w:cantSplit/>
        </w:trPr>
        <w:tc>
          <w:tcPr>
            <w:tcW w:type="dxa" w:w="2304"/>
          </w:tcPr>
          <w:p>
            <w:pPr>
              <w:spacing w:after="60" w:line="252" w:lineRule="auto"/>
            </w:pPr>
            <w:r>
              <w:rPr>
                <w:rFonts w:ascii="Times New Roman" w:hAnsi="Times New Roman"/>
                <w:b w:val="0"/>
                <w:color w:val="000000"/>
                <w:sz w:val="24"/>
              </w:rPr>
              <w:t>Permitted scope adjustment</w:t>
            </w:r>
          </w:p>
        </w:tc>
        <w:tc>
          <w:tcPr>
            <w:tcW w:type="dxa" w:w="7920"/>
          </w:tcPr>
          <w:p>
            <w:pPr>
              <w:spacing w:after="60" w:line="252" w:lineRule="auto"/>
            </w:pPr>
            <w:r>
              <w:rPr>
                <w:rFonts w:ascii="Times New Roman" w:hAnsi="Times New Roman"/>
                <w:b w:val="0"/>
                <w:color w:val="000000"/>
                <w:sz w:val="24"/>
              </w:rPr>
              <w:t>We predict Severe Flood versus Flood, conditional on an observed flood event. Flood means a less severe flood, not no flood.</w:t>
            </w:r>
          </w:p>
        </w:tc>
      </w:tr>
      <w:tr>
        <w:trPr>
          <w:cantSplit/>
        </w:trPr>
        <w:tc>
          <w:tcPr>
            <w:tcW w:type="dxa" w:w="2304"/>
          </w:tcPr>
          <w:p>
            <w:pPr>
              <w:spacing w:after="60" w:line="252" w:lineRule="auto"/>
            </w:pPr>
            <w:r>
              <w:rPr>
                <w:rFonts w:ascii="Times New Roman" w:hAnsi="Times New Roman"/>
                <w:b w:val="0"/>
                <w:color w:val="000000"/>
                <w:sz w:val="24"/>
              </w:rPr>
              <w:t>Fair model comparison</w:t>
            </w:r>
          </w:p>
        </w:tc>
        <w:tc>
          <w:tcPr>
            <w:tcW w:type="dxa" w:w="7920"/>
          </w:tcPr>
          <w:p>
            <w:pPr>
              <w:spacing w:after="60" w:line="252" w:lineRule="auto"/>
            </w:pPr>
            <w:r>
              <w:rPr>
                <w:rFonts w:ascii="Times New Roman" w:hAnsi="Times New Roman"/>
                <w:b w:val="0"/>
                <w:color w:val="000000"/>
                <w:sz w:val="24"/>
              </w:rPr>
              <w:t>Version A uses static catchment/climate inputs and seasonal context. Version B adds rainfall from the 1–10 days before event onset. Both use identical partitions and natural class distributions.</w:t>
            </w:r>
          </w:p>
        </w:tc>
      </w:tr>
    </w:tbl>
    <w:p>
      <w:pPr>
        <w:keepLines/>
        <w:spacing w:after="140" w:line="252" w:lineRule="auto"/>
      </w:pPr>
      <w:r>
        <w:rPr>
          <w:rFonts w:ascii="Times New Roman" w:hAnsi="Times New Roman"/>
          <w:b w:val="0"/>
          <w:color w:val="000000"/>
          <w:sz w:val="24"/>
        </w:rPr>
      </w:r>
    </w:p>
    <w:p>
      <w:pPr>
        <w:pStyle w:val="Heading1"/>
        <w:keepNext/>
        <w:keepLines/>
        <w:pageBreakBefore w:val="0"/>
        <w:spacing w:after="140" w:line="252" w:lineRule="auto" w:before="160"/>
      </w:pPr>
      <w:r>
        <w:rPr>
          <w:rFonts w:ascii="Times New Roman" w:hAnsi="Times New Roman"/>
          <w:b/>
          <w:color w:val="000000"/>
          <w:sz w:val="24"/>
        </w:rPr>
        <w:t>Data used</w:t>
      </w:r>
    </w:p>
    <w:p>
      <w:pPr>
        <w:keepLines/>
        <w:spacing w:after="140" w:line="252" w:lineRule="auto"/>
      </w:pPr>
      <w:r>
        <w:rPr>
          <w:rFonts w:ascii="Times New Roman" w:hAnsi="Times New Roman"/>
          <w:b w:val="0"/>
          <w:color w:val="000000"/>
          <w:sz w:val="24"/>
        </w:rPr>
        <w:t>The public INDOFLOODS files contain 4,548 events from 155 gauges: 2,919 Flood and 1,629 Severe Flood. Each event joins to its rainfall record and to gauge/catchment attributes. Metadata describe 214 gauges, including 59 restricted gauges without public event rows. Those missing event records are not negative examples. Maharashtra contributes 817 events across 29 gauges; it was not selected as a separate training scope.</w:t>
      </w:r>
    </w:p>
    <w:p>
      <w:pPr>
        <w:keepLines/>
        <w:spacing w:after="140" w:line="252" w:lineRule="auto"/>
      </w:pPr>
      <w:r>
        <w:rPr>
          <w:rFonts w:ascii="Times New Roman" w:hAnsi="Times New Roman"/>
          <w:b w:val="0"/>
          <w:color w:val="000000"/>
          <w:sz w:val="24"/>
        </w:rPr>
        <w:t>The additional India Flood Inventory contains 6,876 reported-event rows. District flooded-area and impact tables contain 732 rows each; DFSI contains 744 rows. These describe district impacts or reported events rather than the same gauge-event targets. They are retained as historical context and are not silently merged into predictors.</w:t>
      </w:r>
    </w:p>
    <w:p>
      <w:pPr>
        <w:pStyle w:val="Heading1"/>
        <w:keepNext/>
        <w:keepLines/>
        <w:pageBreakBefore/>
        <w:spacing w:after="140" w:line="252" w:lineRule="auto" w:before="160"/>
      </w:pPr>
      <w:r>
        <w:rPr>
          <w:rFonts w:ascii="Times New Roman" w:hAnsi="Times New Roman"/>
          <w:b/>
          <w:color w:val="000000"/>
          <w:sz w:val="24"/>
        </w:rPr>
        <w:t>2 Methodology and frozen selection</w:t>
      </w:r>
    </w:p>
    <w:tbl>
      <w:tblPr>
        <w:tblStyle w:val="TableGrid"/>
        <w:tblW w:type="auto" w:w="0"/>
        <w:tblLayout w:type="fixed"/>
        <w:tblLook w:firstColumn="1" w:firstRow="1" w:lastColumn="0" w:lastRow="0" w:noHBand="0" w:noVBand="1" w:val="04A0"/>
      </w:tblPr>
      <w:tblGrid>
        <w:gridCol w:w="1800"/>
        <w:gridCol w:w="1080"/>
        <w:gridCol w:w="1080"/>
        <w:gridCol w:w="1080"/>
        <w:gridCol w:w="5184"/>
      </w:tblGrid>
      <w:tr>
        <w:trPr>
          <w:tblHeader/>
          <w:cantSplit/>
        </w:trPr>
        <w:tc>
          <w:tcPr>
            <w:tcW w:type="dxa" w:w="1800"/>
            <w:shd w:fill="D9EAF7"/>
          </w:tcPr>
          <w:p>
            <w:pPr>
              <w:spacing w:after="60" w:line="252" w:lineRule="auto"/>
            </w:pPr>
            <w:r>
              <w:rPr>
                <w:rFonts w:ascii="Times New Roman" w:hAnsi="Times New Roman"/>
                <w:b/>
                <w:color w:val="000000"/>
                <w:sz w:val="24"/>
              </w:rPr>
              <w:t>Partition</w:t>
            </w:r>
          </w:p>
        </w:tc>
        <w:tc>
          <w:tcPr>
            <w:tcW w:type="dxa" w:w="1080"/>
            <w:shd w:fill="D9EAF7"/>
          </w:tcPr>
          <w:p>
            <w:pPr>
              <w:spacing w:after="60" w:line="252" w:lineRule="auto"/>
            </w:pPr>
            <w:r>
              <w:rPr>
                <w:rFonts w:ascii="Times New Roman" w:hAnsi="Times New Roman"/>
                <w:b/>
                <w:color w:val="000000"/>
                <w:sz w:val="24"/>
              </w:rPr>
              <w:t>Events</w:t>
            </w:r>
          </w:p>
        </w:tc>
        <w:tc>
          <w:tcPr>
            <w:tcW w:type="dxa" w:w="1080"/>
            <w:shd w:fill="D9EAF7"/>
          </w:tcPr>
          <w:p>
            <w:pPr>
              <w:spacing w:after="60" w:line="252" w:lineRule="auto"/>
            </w:pPr>
            <w:r>
              <w:rPr>
                <w:rFonts w:ascii="Times New Roman" w:hAnsi="Times New Roman"/>
                <w:b/>
                <w:color w:val="000000"/>
                <w:sz w:val="24"/>
              </w:rPr>
              <w:t>Flood</w:t>
            </w:r>
          </w:p>
        </w:tc>
        <w:tc>
          <w:tcPr>
            <w:tcW w:type="dxa" w:w="1080"/>
            <w:shd w:fill="D9EAF7"/>
          </w:tcPr>
          <w:p>
            <w:pPr>
              <w:spacing w:after="60" w:line="252" w:lineRule="auto"/>
            </w:pPr>
            <w:r>
              <w:rPr>
                <w:rFonts w:ascii="Times New Roman" w:hAnsi="Times New Roman"/>
                <w:b/>
                <w:color w:val="000000"/>
                <w:sz w:val="24"/>
              </w:rPr>
              <w:t>Severe</w:t>
            </w:r>
          </w:p>
        </w:tc>
        <w:tc>
          <w:tcPr>
            <w:tcW w:type="dxa" w:w="5184"/>
            <w:shd w:fill="D9EAF7"/>
          </w:tcPr>
          <w:p>
            <w:pPr>
              <w:spacing w:after="60" w:line="252" w:lineRule="auto"/>
            </w:pPr>
            <w:r>
              <w:rPr>
                <w:rFonts w:ascii="Times New Roman" w:hAnsi="Times New Roman"/>
                <w:b/>
                <w:color w:val="000000"/>
                <w:sz w:val="24"/>
              </w:rPr>
              <w:t>Period</w:t>
            </w:r>
          </w:p>
        </w:tc>
      </w:tr>
      <w:tr>
        <w:trPr>
          <w:cantSplit/>
        </w:trPr>
        <w:tc>
          <w:tcPr>
            <w:tcW w:type="dxa" w:w="1800"/>
          </w:tcPr>
          <w:p>
            <w:pPr>
              <w:spacing w:after="60" w:line="252" w:lineRule="auto"/>
            </w:pPr>
            <w:r>
              <w:rPr>
                <w:rFonts w:ascii="Times New Roman" w:hAnsi="Times New Roman"/>
                <w:b w:val="0"/>
                <w:color w:val="000000"/>
                <w:sz w:val="24"/>
              </w:rPr>
              <w:t>Train</w:t>
            </w:r>
          </w:p>
        </w:tc>
        <w:tc>
          <w:tcPr>
            <w:tcW w:type="dxa" w:w="1080"/>
          </w:tcPr>
          <w:p>
            <w:pPr>
              <w:spacing w:after="60" w:line="252" w:lineRule="auto"/>
            </w:pPr>
            <w:r>
              <w:rPr>
                <w:rFonts w:ascii="Times New Roman" w:hAnsi="Times New Roman"/>
                <w:b w:val="0"/>
                <w:color w:val="000000"/>
                <w:sz w:val="24"/>
              </w:rPr>
              <w:t>3250</w:t>
            </w:r>
          </w:p>
        </w:tc>
        <w:tc>
          <w:tcPr>
            <w:tcW w:type="dxa" w:w="1080"/>
          </w:tcPr>
          <w:p>
            <w:pPr>
              <w:spacing w:after="60" w:line="252" w:lineRule="auto"/>
            </w:pPr>
            <w:r>
              <w:rPr>
                <w:rFonts w:ascii="Times New Roman" w:hAnsi="Times New Roman"/>
                <w:b w:val="0"/>
                <w:color w:val="000000"/>
                <w:sz w:val="24"/>
              </w:rPr>
              <w:t>2167</w:t>
            </w:r>
          </w:p>
        </w:tc>
        <w:tc>
          <w:tcPr>
            <w:tcW w:type="dxa" w:w="1080"/>
          </w:tcPr>
          <w:p>
            <w:pPr>
              <w:spacing w:after="60" w:line="252" w:lineRule="auto"/>
            </w:pPr>
            <w:r>
              <w:rPr>
                <w:rFonts w:ascii="Times New Roman" w:hAnsi="Times New Roman"/>
                <w:b w:val="0"/>
                <w:color w:val="000000"/>
                <w:sz w:val="24"/>
              </w:rPr>
              <w:t>1083</w:t>
            </w:r>
          </w:p>
        </w:tc>
        <w:tc>
          <w:tcPr>
            <w:tcW w:type="dxa" w:w="5184"/>
          </w:tcPr>
          <w:p>
            <w:pPr>
              <w:spacing w:after="60" w:line="252" w:lineRule="auto"/>
            </w:pPr>
            <w:r>
              <w:rPr>
                <w:rFonts w:ascii="Times New Roman" w:hAnsi="Times New Roman"/>
                <w:b w:val="0"/>
                <w:color w:val="000000"/>
                <w:sz w:val="24"/>
              </w:rPr>
              <w:t>1965–2009</w:t>
            </w:r>
          </w:p>
        </w:tc>
      </w:tr>
      <w:tr>
        <w:trPr>
          <w:cantSplit/>
        </w:trPr>
        <w:tc>
          <w:tcPr>
            <w:tcW w:type="dxa" w:w="1800"/>
          </w:tcPr>
          <w:p>
            <w:pPr>
              <w:spacing w:after="60" w:line="252" w:lineRule="auto"/>
            </w:pPr>
            <w:r>
              <w:rPr>
                <w:rFonts w:ascii="Times New Roman" w:hAnsi="Times New Roman"/>
                <w:b w:val="0"/>
                <w:color w:val="000000"/>
                <w:sz w:val="24"/>
              </w:rPr>
              <w:t>Validation</w:t>
            </w:r>
          </w:p>
        </w:tc>
        <w:tc>
          <w:tcPr>
            <w:tcW w:type="dxa" w:w="1080"/>
          </w:tcPr>
          <w:p>
            <w:pPr>
              <w:spacing w:after="60" w:line="252" w:lineRule="auto"/>
            </w:pPr>
            <w:r>
              <w:rPr>
                <w:rFonts w:ascii="Times New Roman" w:hAnsi="Times New Roman"/>
                <w:b w:val="0"/>
                <w:color w:val="000000"/>
                <w:sz w:val="24"/>
              </w:rPr>
              <w:t>613</w:t>
            </w:r>
          </w:p>
        </w:tc>
        <w:tc>
          <w:tcPr>
            <w:tcW w:type="dxa" w:w="1080"/>
          </w:tcPr>
          <w:p>
            <w:pPr>
              <w:spacing w:after="60" w:line="252" w:lineRule="auto"/>
            </w:pPr>
            <w:r>
              <w:rPr>
                <w:rFonts w:ascii="Times New Roman" w:hAnsi="Times New Roman"/>
                <w:b w:val="0"/>
                <w:color w:val="000000"/>
                <w:sz w:val="24"/>
              </w:rPr>
              <w:t>386</w:t>
            </w:r>
          </w:p>
        </w:tc>
        <w:tc>
          <w:tcPr>
            <w:tcW w:type="dxa" w:w="1080"/>
          </w:tcPr>
          <w:p>
            <w:pPr>
              <w:spacing w:after="60" w:line="252" w:lineRule="auto"/>
            </w:pPr>
            <w:r>
              <w:rPr>
                <w:rFonts w:ascii="Times New Roman" w:hAnsi="Times New Roman"/>
                <w:b w:val="0"/>
                <w:color w:val="000000"/>
                <w:sz w:val="24"/>
              </w:rPr>
              <w:t>227</w:t>
            </w:r>
          </w:p>
        </w:tc>
        <w:tc>
          <w:tcPr>
            <w:tcW w:type="dxa" w:w="5184"/>
          </w:tcPr>
          <w:p>
            <w:pPr>
              <w:spacing w:after="60" w:line="252" w:lineRule="auto"/>
            </w:pPr>
            <w:r>
              <w:rPr>
                <w:rFonts w:ascii="Times New Roman" w:hAnsi="Times New Roman"/>
                <w:b w:val="0"/>
                <w:color w:val="000000"/>
                <w:sz w:val="24"/>
              </w:rPr>
              <w:t>2010–2014</w:t>
            </w:r>
          </w:p>
        </w:tc>
      </w:tr>
      <w:tr>
        <w:trPr>
          <w:cantSplit/>
        </w:trPr>
        <w:tc>
          <w:tcPr>
            <w:tcW w:type="dxa" w:w="1800"/>
          </w:tcPr>
          <w:p>
            <w:pPr>
              <w:spacing w:after="60" w:line="252" w:lineRule="auto"/>
            </w:pPr>
            <w:r>
              <w:rPr>
                <w:rFonts w:ascii="Times New Roman" w:hAnsi="Times New Roman"/>
                <w:b w:val="0"/>
                <w:color w:val="000000"/>
                <w:sz w:val="24"/>
              </w:rPr>
              <w:t>Final test</w:t>
            </w:r>
          </w:p>
        </w:tc>
        <w:tc>
          <w:tcPr>
            <w:tcW w:type="dxa" w:w="1080"/>
          </w:tcPr>
          <w:p>
            <w:pPr>
              <w:spacing w:after="60" w:line="252" w:lineRule="auto"/>
            </w:pPr>
            <w:r>
              <w:rPr>
                <w:rFonts w:ascii="Times New Roman" w:hAnsi="Times New Roman"/>
                <w:b w:val="0"/>
                <w:color w:val="000000"/>
                <w:sz w:val="24"/>
              </w:rPr>
              <w:t>625</w:t>
            </w:r>
          </w:p>
        </w:tc>
        <w:tc>
          <w:tcPr>
            <w:tcW w:type="dxa" w:w="1080"/>
          </w:tcPr>
          <w:p>
            <w:pPr>
              <w:spacing w:after="60" w:line="252" w:lineRule="auto"/>
            </w:pPr>
            <w:r>
              <w:rPr>
                <w:rFonts w:ascii="Times New Roman" w:hAnsi="Times New Roman"/>
                <w:b w:val="0"/>
                <w:color w:val="000000"/>
                <w:sz w:val="24"/>
              </w:rPr>
              <w:t>332</w:t>
            </w:r>
          </w:p>
        </w:tc>
        <w:tc>
          <w:tcPr>
            <w:tcW w:type="dxa" w:w="1080"/>
          </w:tcPr>
          <w:p>
            <w:pPr>
              <w:spacing w:after="60" w:line="252" w:lineRule="auto"/>
            </w:pPr>
            <w:r>
              <w:rPr>
                <w:rFonts w:ascii="Times New Roman" w:hAnsi="Times New Roman"/>
                <w:b w:val="0"/>
                <w:color w:val="000000"/>
                <w:sz w:val="24"/>
              </w:rPr>
              <w:t>293</w:t>
            </w:r>
          </w:p>
        </w:tc>
        <w:tc>
          <w:tcPr>
            <w:tcW w:type="dxa" w:w="5184"/>
          </w:tcPr>
          <w:p>
            <w:pPr>
              <w:spacing w:after="60" w:line="252" w:lineRule="auto"/>
            </w:pPr>
            <w:r>
              <w:rPr>
                <w:rFonts w:ascii="Times New Roman" w:hAnsi="Times New Roman"/>
                <w:b w:val="0"/>
                <w:color w:val="000000"/>
                <w:sz w:val="24"/>
              </w:rPr>
              <w:t>2015–2019</w:t>
            </w:r>
          </w:p>
        </w:tc>
      </w:tr>
    </w:tbl>
    <w:p>
      <w:pPr>
        <w:keepLines/>
        <w:spacing w:after="140" w:line="252" w:lineRule="auto"/>
      </w:pPr>
      <w:r>
        <w:rPr>
          <w:rFonts w:ascii="Times New Roman" w:hAnsi="Times New Roman"/>
          <w:b w:val="0"/>
          <w:color w:val="000000"/>
          <w:sz w:val="24"/>
        </w:rPr>
      </w:r>
    </w:p>
    <w:p>
      <w:pPr>
        <w:keepLines/>
        <w:spacing w:after="140" w:line="252" w:lineRule="auto"/>
      </w:pPr>
      <w:r>
        <w:rPr>
          <w:rFonts w:ascii="Times New Roman" w:hAnsi="Times New Roman"/>
          <w:b w:val="0"/>
          <w:color w:val="000000"/>
          <w:sz w:val="24"/>
        </w:rPr>
        <w:t>The documented EM-Earth precipitation source ends in 2019. All 55 events starting in 2020 were excluded before fitting; 54 have zero ten-day rainfall. Five earlier events extend across partition cutoffs and are also excluded, because their severity labels would not be fully observed by the cutoff. The test sample and exclusions were fixed before model selection.</w:t>
      </w:r>
    </w:p>
    <w:tbl>
      <w:tblPr>
        <w:tblStyle w:val="TableGrid"/>
        <w:tblW w:type="auto" w:w="0"/>
        <w:tblLayout w:type="fixed"/>
        <w:tblLook w:firstColumn="1" w:firstRow="1" w:lastColumn="0" w:lastRow="0" w:noHBand="0" w:noVBand="1" w:val="04A0"/>
      </w:tblPr>
      <w:tblGrid>
        <w:gridCol w:w="1800"/>
        <w:gridCol w:w="4968"/>
        <w:gridCol w:w="3456"/>
      </w:tblGrid>
      <w:tr>
        <w:trPr>
          <w:tblHeader/>
          <w:cantSplit/>
        </w:trPr>
        <w:tc>
          <w:tcPr>
            <w:tcW w:type="dxa" w:w="1800"/>
            <w:shd w:fill="D9EAF7"/>
          </w:tcPr>
          <w:p>
            <w:pPr>
              <w:spacing w:after="60" w:line="252" w:lineRule="auto"/>
            </w:pPr>
            <w:r>
              <w:rPr>
                <w:rFonts w:ascii="Times New Roman" w:hAnsi="Times New Roman"/>
                <w:b/>
                <w:color w:val="000000"/>
                <w:sz w:val="24"/>
              </w:rPr>
              <w:t>Version</w:t>
            </w:r>
          </w:p>
        </w:tc>
        <w:tc>
          <w:tcPr>
            <w:tcW w:type="dxa" w:w="4968"/>
            <w:shd w:fill="D9EAF7"/>
          </w:tcPr>
          <w:p>
            <w:pPr>
              <w:spacing w:after="60" w:line="252" w:lineRule="auto"/>
            </w:pPr>
            <w:r>
              <w:rPr>
                <w:rFonts w:ascii="Times New Roman" w:hAnsi="Times New Roman"/>
                <w:b/>
                <w:color w:val="000000"/>
                <w:sz w:val="24"/>
              </w:rPr>
              <w:t>Inputs</w:t>
            </w:r>
          </w:p>
        </w:tc>
        <w:tc>
          <w:tcPr>
            <w:tcW w:type="dxa" w:w="3456"/>
            <w:shd w:fill="D9EAF7"/>
          </w:tcPr>
          <w:p>
            <w:pPr>
              <w:spacing w:after="60" w:line="252" w:lineRule="auto"/>
            </w:pPr>
            <w:r>
              <w:rPr>
                <w:rFonts w:ascii="Times New Roman" w:hAnsi="Times New Roman"/>
                <w:b/>
                <w:color w:val="000000"/>
                <w:sz w:val="24"/>
              </w:rPr>
              <w:t>Selected XGBoost settings</w:t>
            </w:r>
          </w:p>
        </w:tc>
      </w:tr>
      <w:tr>
        <w:trPr>
          <w:cantSplit/>
        </w:trPr>
        <w:tc>
          <w:tcPr>
            <w:tcW w:type="dxa" w:w="1800"/>
          </w:tcPr>
          <w:p>
            <w:pPr>
              <w:spacing w:after="60" w:line="252" w:lineRule="auto"/>
            </w:pPr>
            <w:r>
              <w:rPr>
                <w:rFonts w:ascii="Times New Roman" w:hAnsi="Times New Roman"/>
                <w:b w:val="0"/>
                <w:color w:val="000000"/>
                <w:sz w:val="24"/>
              </w:rPr>
              <w:t>A Static</w:t>
            </w:r>
          </w:p>
        </w:tc>
        <w:tc>
          <w:tcPr>
            <w:tcW w:type="dxa" w:w="4968"/>
          </w:tcPr>
          <w:p>
            <w:pPr>
              <w:spacing w:after="60" w:line="252" w:lineRule="auto"/>
            </w:pPr>
            <w:r>
              <w:rPr>
                <w:rFonts w:ascii="Times New Roman" w:hAnsi="Times New Roman"/>
                <w:b w:val="0"/>
                <w:color w:val="000000"/>
                <w:sz w:val="24"/>
              </w:rPr>
              <w:t>25 raw inputs: 19 numeric catchment/climate/location fields, 4 categorical fields and 2 seasonal features.</w:t>
            </w:r>
          </w:p>
        </w:tc>
        <w:tc>
          <w:tcPr>
            <w:tcW w:type="dxa" w:w="3456"/>
          </w:tcPr>
          <w:p>
            <w:pPr>
              <w:spacing w:after="60" w:line="252" w:lineRule="auto"/>
            </w:pPr>
            <w:r>
              <w:rPr>
                <w:rFonts w:ascii="Times New Roman" w:hAnsi="Times New Roman"/>
                <w:b w:val="0"/>
                <w:color w:val="000000"/>
                <w:sz w:val="24"/>
              </w:rPr>
              <w:t>450 trees, depth 2, learning rate 0.04, minimum child weight 8, L2 regularisation 10.</w:t>
            </w:r>
          </w:p>
        </w:tc>
      </w:tr>
      <w:tr>
        <w:trPr>
          <w:cantSplit/>
        </w:trPr>
        <w:tc>
          <w:tcPr>
            <w:tcW w:type="dxa" w:w="1800"/>
          </w:tcPr>
          <w:p>
            <w:pPr>
              <w:spacing w:after="60" w:line="252" w:lineRule="auto"/>
            </w:pPr>
            <w:r>
              <w:rPr>
                <w:rFonts w:ascii="Times New Roman" w:hAnsi="Times New Roman"/>
                <w:b w:val="0"/>
                <w:color w:val="000000"/>
                <w:sz w:val="24"/>
              </w:rPr>
              <w:t>B With rainfall</w:t>
            </w:r>
          </w:p>
        </w:tc>
        <w:tc>
          <w:tcPr>
            <w:tcW w:type="dxa" w:w="4968"/>
          </w:tcPr>
          <w:p>
            <w:pPr>
              <w:spacing w:after="60" w:line="252" w:lineRule="auto"/>
            </w:pPr>
            <w:r>
              <w:rPr>
                <w:rFonts w:ascii="Times New Roman" w:hAnsi="Times New Roman"/>
                <w:b w:val="0"/>
                <w:color w:val="000000"/>
                <w:sz w:val="24"/>
              </w:rPr>
              <w:t>The same 25 inputs plus T1d–T10d and four derived rainfall indicators: maximum, standard deviation, rainy-day count and recent three-day share. Total 39 raw inputs.</w:t>
            </w:r>
          </w:p>
        </w:tc>
        <w:tc>
          <w:tcPr>
            <w:tcW w:type="dxa" w:w="3456"/>
          </w:tcPr>
          <w:p>
            <w:pPr>
              <w:spacing w:after="60" w:line="252" w:lineRule="auto"/>
            </w:pPr>
            <w:r>
              <w:rPr>
                <w:rFonts w:ascii="Times New Roman" w:hAnsi="Times New Roman"/>
                <w:b w:val="0"/>
                <w:color w:val="000000"/>
                <w:sz w:val="24"/>
              </w:rPr>
              <w:t>450 trees, depth 4, learning rate 0.04, minimum child weight 8, L2 regularisation 10.</w:t>
            </w:r>
          </w:p>
        </w:tc>
      </w:tr>
    </w:tbl>
    <w:p>
      <w:pPr>
        <w:keepLines/>
        <w:spacing w:after="140" w:line="252" w:lineRule="auto"/>
      </w:pPr>
      <w:r>
        <w:rPr>
          <w:rFonts w:ascii="Times New Roman" w:hAnsi="Times New Roman"/>
          <w:b w:val="0"/>
          <w:color w:val="000000"/>
          <w:sz w:val="24"/>
        </w:rPr>
      </w:r>
    </w:p>
    <w:p>
      <w:pPr>
        <w:keepLines/>
        <w:spacing w:after="140" w:line="252" w:lineRule="auto"/>
      </w:pPr>
      <w:r>
        <w:rPr>
          <w:rFonts w:ascii="Times New Roman" w:hAnsi="Times New Roman"/>
          <w:b w:val="0"/>
          <w:color w:val="000000"/>
          <w:sz w:val="24"/>
        </w:rPr>
        <w:t>Both families used the same 16 prespecified hyperparameter/weight candidates. Numeric medians and categorical vocabularies were fitted on training rows only. Candidate class weights were 1 and the training class ratio; both selected models use weight 1. Validation and test events were not resampled. Random seed: 20261024.</w:t>
      </w:r>
    </w:p>
    <w:p>
      <w:pPr>
        <w:keepLines/>
        <w:spacing w:after="140" w:line="252" w:lineRule="auto"/>
      </w:pPr>
      <w:r>
        <w:rPr>
          <w:rFonts w:ascii="Times New Roman" w:hAnsi="Times New Roman"/>
          <w:b w:val="0"/>
          <w:color w:val="000000"/>
          <w:sz w:val="24"/>
        </w:rPr>
        <w:t>We selected each family by validation average precision (PR-AUC/AP), then F1. Its decision threshold maximises validation F1, with F2 as a tie-breaker. The static model won selection before the final test. Thresholds were frozen at 0.300 for static and 0.125 for rainfall.</w:t>
      </w:r>
    </w:p>
    <w:p>
      <w:pPr>
        <w:keepLines/>
        <w:spacing w:after="140" w:line="252" w:lineRule="auto"/>
      </w:pPr>
      <w:r>
        <w:rPr>
          <w:rFonts w:ascii="Times New Roman" w:hAnsi="Times New Roman"/>
          <w:b w:val="0"/>
          <w:color w:val="000000"/>
          <w:sz w:val="24"/>
        </w:rPr>
        <w:t>Event peaks, duration, recession, flood volume and post-onset dates are excluded from predictors. IDs, warning/danger thresholds and whole-period district impacts/DFSI are also excluded. Modern static climate and 2015 land-cover attributes remain retrospective proxies; this is not a reconstruction of all covariates available in each historical year.</w:t>
      </w:r>
    </w:p>
    <w:p>
      <w:pPr>
        <w:pStyle w:val="Heading1"/>
        <w:keepNext/>
        <w:keepLines/>
        <w:pageBreakBefore/>
        <w:spacing w:after="140" w:line="252" w:lineRule="auto" w:before="160"/>
      </w:pPr>
      <w:r>
        <w:rPr>
          <w:rFonts w:ascii="Times New Roman" w:hAnsi="Times New Roman"/>
          <w:b/>
          <w:color w:val="000000"/>
          <w:sz w:val="24"/>
        </w:rPr>
        <w:t>3 Actual chronological results</w:t>
      </w:r>
    </w:p>
    <w:p>
      <w:pPr>
        <w:keepLines/>
        <w:spacing w:after="140" w:line="252" w:lineRule="auto"/>
      </w:pPr>
      <w:r>
        <w:rPr>
          <w:rFonts w:ascii="Times New Roman" w:hAnsi="Times New Roman"/>
          <w:b w:val="0"/>
          <w:color w:val="000000"/>
          <w:sz w:val="24"/>
        </w:rPr>
        <w:t>Severe Flood is the positive class. Precision and recall concern severe events among already recorded floods. PR-AUC below is average precision, not trapezoidal integration. All results use the frozen validation-selected thresholds.</w:t>
      </w:r>
    </w:p>
    <w:tbl>
      <w:tblPr>
        <w:tblStyle w:val="TableGrid"/>
        <w:tblW w:type="auto" w:w="0"/>
        <w:tblLayout w:type="fixed"/>
        <w:tblLook w:firstColumn="1" w:firstRow="1" w:lastColumn="0" w:lastRow="0" w:noHBand="0" w:noVBand="1" w:val="04A0"/>
      </w:tblPr>
      <w:tblGrid>
        <w:gridCol w:w="2376"/>
        <w:gridCol w:w="1368"/>
        <w:gridCol w:w="1224"/>
        <w:gridCol w:w="936"/>
        <w:gridCol w:w="936"/>
        <w:gridCol w:w="1224"/>
        <w:gridCol w:w="1440"/>
      </w:tblGrid>
      <w:tr>
        <w:trPr>
          <w:tblHeader/>
          <w:cantSplit/>
        </w:trPr>
        <w:tc>
          <w:tcPr>
            <w:tcW w:type="dxa" w:w="2376"/>
            <w:shd w:fill="D9EAF7"/>
          </w:tcPr>
          <w:p>
            <w:pPr>
              <w:spacing w:after="60" w:line="252" w:lineRule="auto"/>
            </w:pPr>
            <w:r>
              <w:rPr>
                <w:rFonts w:ascii="Times New Roman" w:hAnsi="Times New Roman"/>
                <w:b/>
                <w:color w:val="000000"/>
                <w:sz w:val="24"/>
              </w:rPr>
              <w:t>Model</w:t>
            </w:r>
          </w:p>
        </w:tc>
        <w:tc>
          <w:tcPr>
            <w:tcW w:type="dxa" w:w="1368"/>
            <w:shd w:fill="D9EAF7"/>
          </w:tcPr>
          <w:p>
            <w:pPr>
              <w:spacing w:after="60" w:line="252" w:lineRule="auto"/>
            </w:pPr>
            <w:r>
              <w:rPr>
                <w:rFonts w:ascii="Times New Roman" w:hAnsi="Times New Roman"/>
                <w:b/>
                <w:color w:val="000000"/>
                <w:sz w:val="24"/>
              </w:rPr>
              <w:t>Precision</w:t>
            </w:r>
          </w:p>
        </w:tc>
        <w:tc>
          <w:tcPr>
            <w:tcW w:type="dxa" w:w="1224"/>
            <w:shd w:fill="D9EAF7"/>
          </w:tcPr>
          <w:p>
            <w:pPr>
              <w:spacing w:after="60" w:line="252" w:lineRule="auto"/>
            </w:pPr>
            <w:r>
              <w:rPr>
                <w:rFonts w:ascii="Times New Roman" w:hAnsi="Times New Roman"/>
                <w:b/>
                <w:color w:val="000000"/>
                <w:sz w:val="24"/>
              </w:rPr>
              <w:t>Recall</w:t>
            </w:r>
          </w:p>
        </w:tc>
        <w:tc>
          <w:tcPr>
            <w:tcW w:type="dxa" w:w="936"/>
            <w:shd w:fill="D9EAF7"/>
          </w:tcPr>
          <w:p>
            <w:pPr>
              <w:spacing w:after="60" w:line="252" w:lineRule="auto"/>
            </w:pPr>
            <w:r>
              <w:rPr>
                <w:rFonts w:ascii="Times New Roman" w:hAnsi="Times New Roman"/>
                <w:b/>
                <w:color w:val="000000"/>
                <w:sz w:val="24"/>
              </w:rPr>
              <w:t>F1</w:t>
            </w:r>
          </w:p>
        </w:tc>
        <w:tc>
          <w:tcPr>
            <w:tcW w:type="dxa" w:w="936"/>
            <w:shd w:fill="D9EAF7"/>
          </w:tcPr>
          <w:p>
            <w:pPr>
              <w:spacing w:after="60" w:line="252" w:lineRule="auto"/>
            </w:pPr>
            <w:r>
              <w:rPr>
                <w:rFonts w:ascii="Times New Roman" w:hAnsi="Times New Roman"/>
                <w:b/>
                <w:color w:val="000000"/>
                <w:sz w:val="24"/>
              </w:rPr>
              <w:t>F2</w:t>
            </w:r>
          </w:p>
        </w:tc>
        <w:tc>
          <w:tcPr>
            <w:tcW w:type="dxa" w:w="1224"/>
            <w:shd w:fill="D9EAF7"/>
          </w:tcPr>
          <w:p>
            <w:pPr>
              <w:spacing w:after="60" w:line="252" w:lineRule="auto"/>
            </w:pPr>
            <w:r>
              <w:rPr>
                <w:rFonts w:ascii="Times New Roman" w:hAnsi="Times New Roman"/>
                <w:b/>
                <w:color w:val="000000"/>
                <w:sz w:val="24"/>
              </w:rPr>
              <w:t>PR-AUC</w:t>
            </w:r>
          </w:p>
        </w:tc>
        <w:tc>
          <w:tcPr>
            <w:tcW w:type="dxa" w:w="1440"/>
            <w:shd w:fill="D9EAF7"/>
          </w:tcPr>
          <w:p>
            <w:pPr>
              <w:spacing w:after="60" w:line="252" w:lineRule="auto"/>
            </w:pPr>
            <w:r>
              <w:rPr>
                <w:rFonts w:ascii="Times New Roman" w:hAnsi="Times New Roman"/>
                <w:b/>
                <w:color w:val="000000"/>
                <w:sz w:val="24"/>
              </w:rPr>
              <w:t>ROC-AUC</w:t>
            </w:r>
          </w:p>
        </w:tc>
      </w:tr>
      <w:tr>
        <w:trPr>
          <w:cantSplit/>
        </w:trPr>
        <w:tc>
          <w:tcPr>
            <w:tcW w:type="dxa" w:w="2376"/>
          </w:tcPr>
          <w:p>
            <w:pPr>
              <w:spacing w:after="60" w:line="252" w:lineRule="auto"/>
            </w:pPr>
            <w:r>
              <w:rPr>
                <w:rFonts w:ascii="Times New Roman" w:hAnsi="Times New Roman"/>
                <w:b w:val="0"/>
                <w:color w:val="000000"/>
                <w:sz w:val="24"/>
              </w:rPr>
              <w:t>A Static XGB</w:t>
            </w:r>
          </w:p>
        </w:tc>
        <w:tc>
          <w:tcPr>
            <w:tcW w:type="dxa" w:w="1368"/>
          </w:tcPr>
          <w:p>
            <w:pPr>
              <w:spacing w:after="60" w:line="252" w:lineRule="auto"/>
            </w:pPr>
            <w:r>
              <w:rPr>
                <w:rFonts w:ascii="Times New Roman" w:hAnsi="Times New Roman"/>
                <w:b w:val="0"/>
                <w:color w:val="000000"/>
                <w:sz w:val="24"/>
              </w:rPr>
              <w:t>0.543</w:t>
            </w:r>
          </w:p>
        </w:tc>
        <w:tc>
          <w:tcPr>
            <w:tcW w:type="dxa" w:w="1224"/>
          </w:tcPr>
          <w:p>
            <w:pPr>
              <w:spacing w:after="60" w:line="252" w:lineRule="auto"/>
            </w:pPr>
            <w:r>
              <w:rPr>
                <w:rFonts w:ascii="Times New Roman" w:hAnsi="Times New Roman"/>
                <w:b w:val="0"/>
                <w:color w:val="000000"/>
                <w:sz w:val="24"/>
              </w:rPr>
              <w:t>0.648</w:t>
            </w:r>
          </w:p>
        </w:tc>
        <w:tc>
          <w:tcPr>
            <w:tcW w:type="dxa" w:w="936"/>
          </w:tcPr>
          <w:p>
            <w:pPr>
              <w:spacing w:after="60" w:line="252" w:lineRule="auto"/>
            </w:pPr>
            <w:r>
              <w:rPr>
                <w:rFonts w:ascii="Times New Roman" w:hAnsi="Times New Roman"/>
                <w:b w:val="0"/>
                <w:color w:val="000000"/>
                <w:sz w:val="24"/>
              </w:rPr>
              <w:t>0.591</w:t>
            </w:r>
          </w:p>
        </w:tc>
        <w:tc>
          <w:tcPr>
            <w:tcW w:type="dxa" w:w="936"/>
          </w:tcPr>
          <w:p>
            <w:pPr>
              <w:spacing w:after="60" w:line="252" w:lineRule="auto"/>
            </w:pPr>
            <w:r>
              <w:rPr>
                <w:rFonts w:ascii="Times New Roman" w:hAnsi="Times New Roman"/>
                <w:b w:val="0"/>
                <w:color w:val="000000"/>
                <w:sz w:val="24"/>
              </w:rPr>
              <w:t>0.624</w:t>
            </w:r>
          </w:p>
        </w:tc>
        <w:tc>
          <w:tcPr>
            <w:tcW w:type="dxa" w:w="1224"/>
          </w:tcPr>
          <w:p>
            <w:pPr>
              <w:spacing w:after="60" w:line="252" w:lineRule="auto"/>
            </w:pPr>
            <w:r>
              <w:rPr>
                <w:rFonts w:ascii="Times New Roman" w:hAnsi="Times New Roman"/>
                <w:b w:val="0"/>
                <w:color w:val="000000"/>
                <w:sz w:val="24"/>
              </w:rPr>
              <w:t>0.553</w:t>
            </w:r>
          </w:p>
        </w:tc>
        <w:tc>
          <w:tcPr>
            <w:tcW w:type="dxa" w:w="1440"/>
          </w:tcPr>
          <w:p>
            <w:pPr>
              <w:spacing w:after="60" w:line="252" w:lineRule="auto"/>
            </w:pPr>
            <w:r>
              <w:rPr>
                <w:rFonts w:ascii="Times New Roman" w:hAnsi="Times New Roman"/>
                <w:b w:val="0"/>
                <w:color w:val="000000"/>
                <w:sz w:val="24"/>
              </w:rPr>
              <w:t>0.601</w:t>
            </w:r>
          </w:p>
        </w:tc>
      </w:tr>
      <w:tr>
        <w:trPr>
          <w:cantSplit/>
        </w:trPr>
        <w:tc>
          <w:tcPr>
            <w:tcW w:type="dxa" w:w="2376"/>
          </w:tcPr>
          <w:p>
            <w:pPr>
              <w:spacing w:after="60" w:line="252" w:lineRule="auto"/>
            </w:pPr>
            <w:r>
              <w:rPr>
                <w:rFonts w:ascii="Times New Roman" w:hAnsi="Times New Roman"/>
                <w:b w:val="0"/>
                <w:color w:val="000000"/>
                <w:sz w:val="24"/>
              </w:rPr>
              <w:t>B Rainfall XGB</w:t>
            </w:r>
          </w:p>
        </w:tc>
        <w:tc>
          <w:tcPr>
            <w:tcW w:type="dxa" w:w="1368"/>
          </w:tcPr>
          <w:p>
            <w:pPr>
              <w:spacing w:after="60" w:line="252" w:lineRule="auto"/>
            </w:pPr>
            <w:r>
              <w:rPr>
                <w:rFonts w:ascii="Times New Roman" w:hAnsi="Times New Roman"/>
                <w:b w:val="0"/>
                <w:color w:val="000000"/>
                <w:sz w:val="24"/>
              </w:rPr>
              <w:t>0.504</w:t>
            </w:r>
          </w:p>
        </w:tc>
        <w:tc>
          <w:tcPr>
            <w:tcW w:type="dxa" w:w="1224"/>
          </w:tcPr>
          <w:p>
            <w:pPr>
              <w:spacing w:after="60" w:line="252" w:lineRule="auto"/>
            </w:pPr>
            <w:r>
              <w:rPr>
                <w:rFonts w:ascii="Times New Roman" w:hAnsi="Times New Roman"/>
                <w:b w:val="0"/>
                <w:color w:val="000000"/>
                <w:sz w:val="24"/>
              </w:rPr>
              <w:t>0.802</w:t>
            </w:r>
          </w:p>
        </w:tc>
        <w:tc>
          <w:tcPr>
            <w:tcW w:type="dxa" w:w="936"/>
          </w:tcPr>
          <w:p>
            <w:pPr>
              <w:spacing w:after="60" w:line="252" w:lineRule="auto"/>
            </w:pPr>
            <w:r>
              <w:rPr>
                <w:rFonts w:ascii="Times New Roman" w:hAnsi="Times New Roman"/>
                <w:b w:val="0"/>
                <w:color w:val="000000"/>
                <w:sz w:val="24"/>
              </w:rPr>
              <w:t>0.619</w:t>
            </w:r>
          </w:p>
        </w:tc>
        <w:tc>
          <w:tcPr>
            <w:tcW w:type="dxa" w:w="936"/>
          </w:tcPr>
          <w:p>
            <w:pPr>
              <w:spacing w:after="60" w:line="252" w:lineRule="auto"/>
            </w:pPr>
            <w:r>
              <w:rPr>
                <w:rFonts w:ascii="Times New Roman" w:hAnsi="Times New Roman"/>
                <w:b w:val="0"/>
                <w:color w:val="000000"/>
                <w:sz w:val="24"/>
              </w:rPr>
              <w:t>0.717</w:t>
            </w:r>
          </w:p>
        </w:tc>
        <w:tc>
          <w:tcPr>
            <w:tcW w:type="dxa" w:w="1224"/>
          </w:tcPr>
          <w:p>
            <w:pPr>
              <w:spacing w:after="60" w:line="252" w:lineRule="auto"/>
            </w:pPr>
            <w:r>
              <w:rPr>
                <w:rFonts w:ascii="Times New Roman" w:hAnsi="Times New Roman"/>
                <w:b w:val="0"/>
                <w:color w:val="000000"/>
                <w:sz w:val="24"/>
              </w:rPr>
              <w:t>0.612</w:t>
            </w:r>
          </w:p>
        </w:tc>
        <w:tc>
          <w:tcPr>
            <w:tcW w:type="dxa" w:w="1440"/>
          </w:tcPr>
          <w:p>
            <w:pPr>
              <w:spacing w:after="60" w:line="252" w:lineRule="auto"/>
            </w:pPr>
            <w:r>
              <w:rPr>
                <w:rFonts w:ascii="Times New Roman" w:hAnsi="Times New Roman"/>
                <w:b w:val="0"/>
                <w:color w:val="000000"/>
                <w:sz w:val="24"/>
              </w:rPr>
              <w:t>0.624</w:t>
            </w:r>
          </w:p>
        </w:tc>
      </w:tr>
      <w:tr>
        <w:trPr>
          <w:cantSplit/>
        </w:trPr>
        <w:tc>
          <w:tcPr>
            <w:tcW w:type="dxa" w:w="2376"/>
          </w:tcPr>
          <w:p>
            <w:pPr>
              <w:spacing w:after="60" w:line="252" w:lineRule="auto"/>
            </w:pPr>
            <w:r>
              <w:rPr>
                <w:rFonts w:ascii="Times New Roman" w:hAnsi="Times New Roman"/>
                <w:b w:val="0"/>
                <w:color w:val="000000"/>
                <w:sz w:val="24"/>
              </w:rPr>
              <w:t>Rainfall logistic</w:t>
            </w:r>
          </w:p>
        </w:tc>
        <w:tc>
          <w:tcPr>
            <w:tcW w:type="dxa" w:w="1368"/>
          </w:tcPr>
          <w:p>
            <w:pPr>
              <w:spacing w:after="60" w:line="252" w:lineRule="auto"/>
            </w:pPr>
            <w:r>
              <w:rPr>
                <w:rFonts w:ascii="Times New Roman" w:hAnsi="Times New Roman"/>
                <w:b w:val="0"/>
                <w:color w:val="000000"/>
                <w:sz w:val="24"/>
              </w:rPr>
              <w:t>0.484</w:t>
            </w:r>
          </w:p>
        </w:tc>
        <w:tc>
          <w:tcPr>
            <w:tcW w:type="dxa" w:w="1224"/>
          </w:tcPr>
          <w:p>
            <w:pPr>
              <w:spacing w:after="60" w:line="252" w:lineRule="auto"/>
            </w:pPr>
            <w:r>
              <w:rPr>
                <w:rFonts w:ascii="Times New Roman" w:hAnsi="Times New Roman"/>
                <w:b w:val="0"/>
                <w:color w:val="000000"/>
                <w:sz w:val="24"/>
              </w:rPr>
              <w:t>0.846</w:t>
            </w:r>
          </w:p>
        </w:tc>
        <w:tc>
          <w:tcPr>
            <w:tcW w:type="dxa" w:w="936"/>
          </w:tcPr>
          <w:p>
            <w:pPr>
              <w:spacing w:after="60" w:line="252" w:lineRule="auto"/>
            </w:pPr>
            <w:r>
              <w:rPr>
                <w:rFonts w:ascii="Times New Roman" w:hAnsi="Times New Roman"/>
                <w:b w:val="0"/>
                <w:color w:val="000000"/>
                <w:sz w:val="24"/>
              </w:rPr>
              <w:t>0.616</w:t>
            </w:r>
          </w:p>
        </w:tc>
        <w:tc>
          <w:tcPr>
            <w:tcW w:type="dxa" w:w="936"/>
          </w:tcPr>
          <w:p>
            <w:pPr>
              <w:spacing w:after="60" w:line="252" w:lineRule="auto"/>
            </w:pPr>
            <w:r>
              <w:rPr>
                <w:rFonts w:ascii="Times New Roman" w:hAnsi="Times New Roman"/>
                <w:b w:val="0"/>
                <w:color w:val="000000"/>
                <w:sz w:val="24"/>
              </w:rPr>
              <w:t>0.736</w:t>
            </w:r>
          </w:p>
        </w:tc>
        <w:tc>
          <w:tcPr>
            <w:tcW w:type="dxa" w:w="1224"/>
          </w:tcPr>
          <w:p>
            <w:pPr>
              <w:spacing w:after="60" w:line="252" w:lineRule="auto"/>
            </w:pPr>
            <w:r>
              <w:rPr>
                <w:rFonts w:ascii="Times New Roman" w:hAnsi="Times New Roman"/>
                <w:b w:val="0"/>
                <w:color w:val="000000"/>
                <w:sz w:val="24"/>
              </w:rPr>
              <w:t>0.522</w:t>
            </w:r>
          </w:p>
        </w:tc>
        <w:tc>
          <w:tcPr>
            <w:tcW w:type="dxa" w:w="1440"/>
          </w:tcPr>
          <w:p>
            <w:pPr>
              <w:spacing w:after="60" w:line="252" w:lineRule="auto"/>
            </w:pPr>
            <w:r>
              <w:rPr>
                <w:rFonts w:ascii="Times New Roman" w:hAnsi="Times New Roman"/>
                <w:b w:val="0"/>
                <w:color w:val="000000"/>
                <w:sz w:val="24"/>
              </w:rPr>
              <w:t>0.567</w:t>
            </w:r>
          </w:p>
        </w:tc>
      </w:tr>
      <w:tr>
        <w:trPr>
          <w:cantSplit/>
        </w:trPr>
        <w:tc>
          <w:tcPr>
            <w:tcW w:type="dxa" w:w="2376"/>
          </w:tcPr>
          <w:p>
            <w:pPr>
              <w:spacing w:after="60" w:line="252" w:lineRule="auto"/>
            </w:pPr>
            <w:r>
              <w:rPr>
                <w:rFonts w:ascii="Times New Roman" w:hAnsi="Times New Roman"/>
                <w:b w:val="0"/>
                <w:color w:val="000000"/>
                <w:sz w:val="24"/>
              </w:rPr>
              <w:t>Always severe</w:t>
            </w:r>
          </w:p>
        </w:tc>
        <w:tc>
          <w:tcPr>
            <w:tcW w:type="dxa" w:w="1368"/>
          </w:tcPr>
          <w:p>
            <w:pPr>
              <w:spacing w:after="60" w:line="252" w:lineRule="auto"/>
            </w:pPr>
            <w:r>
              <w:rPr>
                <w:rFonts w:ascii="Times New Roman" w:hAnsi="Times New Roman"/>
                <w:b w:val="0"/>
                <w:color w:val="000000"/>
                <w:sz w:val="24"/>
              </w:rPr>
              <w:t>0.469</w:t>
            </w:r>
          </w:p>
        </w:tc>
        <w:tc>
          <w:tcPr>
            <w:tcW w:type="dxa" w:w="1224"/>
          </w:tcPr>
          <w:p>
            <w:pPr>
              <w:spacing w:after="60" w:line="252" w:lineRule="auto"/>
            </w:pPr>
            <w:r>
              <w:rPr>
                <w:rFonts w:ascii="Times New Roman" w:hAnsi="Times New Roman"/>
                <w:b w:val="0"/>
                <w:color w:val="000000"/>
                <w:sz w:val="24"/>
              </w:rPr>
              <w:t>1.000</w:t>
            </w:r>
          </w:p>
        </w:tc>
        <w:tc>
          <w:tcPr>
            <w:tcW w:type="dxa" w:w="936"/>
          </w:tcPr>
          <w:p>
            <w:pPr>
              <w:spacing w:after="60" w:line="252" w:lineRule="auto"/>
            </w:pPr>
            <w:r>
              <w:rPr>
                <w:rFonts w:ascii="Times New Roman" w:hAnsi="Times New Roman"/>
                <w:b w:val="0"/>
                <w:color w:val="000000"/>
                <w:sz w:val="24"/>
              </w:rPr>
              <w:t>0.638</w:t>
            </w:r>
          </w:p>
        </w:tc>
        <w:tc>
          <w:tcPr>
            <w:tcW w:type="dxa" w:w="936"/>
          </w:tcPr>
          <w:p>
            <w:pPr>
              <w:spacing w:after="60" w:line="252" w:lineRule="auto"/>
            </w:pPr>
            <w:r>
              <w:rPr>
                <w:rFonts w:ascii="Times New Roman" w:hAnsi="Times New Roman"/>
                <w:b w:val="0"/>
                <w:color w:val="000000"/>
                <w:sz w:val="24"/>
              </w:rPr>
              <w:t>0.815</w:t>
            </w:r>
          </w:p>
        </w:tc>
        <w:tc>
          <w:tcPr>
            <w:tcW w:type="dxa" w:w="1224"/>
          </w:tcPr>
          <w:p>
            <w:pPr>
              <w:spacing w:after="60" w:line="252" w:lineRule="auto"/>
            </w:pPr>
            <w:r>
              <w:rPr>
                <w:rFonts w:ascii="Times New Roman" w:hAnsi="Times New Roman"/>
                <w:b w:val="0"/>
                <w:color w:val="000000"/>
                <w:sz w:val="24"/>
              </w:rPr>
              <w:t>0.469</w:t>
            </w:r>
          </w:p>
        </w:tc>
        <w:tc>
          <w:tcPr>
            <w:tcW w:type="dxa" w:w="1440"/>
          </w:tcPr>
          <w:p>
            <w:pPr>
              <w:spacing w:after="60" w:line="252" w:lineRule="auto"/>
            </w:pPr>
            <w:r>
              <w:rPr>
                <w:rFonts w:ascii="Times New Roman" w:hAnsi="Times New Roman"/>
                <w:b w:val="0"/>
                <w:color w:val="000000"/>
                <w:sz w:val="24"/>
              </w:rPr>
              <w:t>0.500</w:t>
            </w:r>
          </w:p>
        </w:tc>
      </w:tr>
      <w:tr>
        <w:trPr>
          <w:cantSplit/>
        </w:trPr>
        <w:tc>
          <w:tcPr>
            <w:tcW w:type="dxa" w:w="2376"/>
          </w:tcPr>
          <w:p>
            <w:pPr>
              <w:spacing w:after="60" w:line="252" w:lineRule="auto"/>
            </w:pPr>
            <w:r>
              <w:rPr>
                <w:rFonts w:ascii="Times New Roman" w:hAnsi="Times New Roman"/>
                <w:b w:val="0"/>
                <w:color w:val="000000"/>
                <w:sz w:val="24"/>
              </w:rPr>
              <w:t>Training prior</w:t>
            </w:r>
          </w:p>
        </w:tc>
        <w:tc>
          <w:tcPr>
            <w:tcW w:type="dxa" w:w="1368"/>
          </w:tcPr>
          <w:p>
            <w:pPr>
              <w:spacing w:after="60" w:line="252" w:lineRule="auto"/>
            </w:pPr>
            <w:r>
              <w:rPr>
                <w:rFonts w:ascii="Times New Roman" w:hAnsi="Times New Roman"/>
                <w:b w:val="0"/>
                <w:color w:val="000000"/>
                <w:sz w:val="24"/>
              </w:rPr>
              <w:t>0.000</w:t>
            </w:r>
          </w:p>
        </w:tc>
        <w:tc>
          <w:tcPr>
            <w:tcW w:type="dxa" w:w="1224"/>
          </w:tcPr>
          <w:p>
            <w:pPr>
              <w:spacing w:after="60" w:line="252" w:lineRule="auto"/>
            </w:pPr>
            <w:r>
              <w:rPr>
                <w:rFonts w:ascii="Times New Roman" w:hAnsi="Times New Roman"/>
                <w:b w:val="0"/>
                <w:color w:val="000000"/>
                <w:sz w:val="24"/>
              </w:rPr>
              <w:t>0.000</w:t>
            </w:r>
          </w:p>
        </w:tc>
        <w:tc>
          <w:tcPr>
            <w:tcW w:type="dxa" w:w="936"/>
          </w:tcPr>
          <w:p>
            <w:pPr>
              <w:spacing w:after="60" w:line="252" w:lineRule="auto"/>
            </w:pPr>
            <w:r>
              <w:rPr>
                <w:rFonts w:ascii="Times New Roman" w:hAnsi="Times New Roman"/>
                <w:b w:val="0"/>
                <w:color w:val="000000"/>
                <w:sz w:val="24"/>
              </w:rPr>
              <w:t>0.000</w:t>
            </w:r>
          </w:p>
        </w:tc>
        <w:tc>
          <w:tcPr>
            <w:tcW w:type="dxa" w:w="936"/>
          </w:tcPr>
          <w:p>
            <w:pPr>
              <w:spacing w:after="60" w:line="252" w:lineRule="auto"/>
            </w:pPr>
            <w:r>
              <w:rPr>
                <w:rFonts w:ascii="Times New Roman" w:hAnsi="Times New Roman"/>
                <w:b w:val="0"/>
                <w:color w:val="000000"/>
                <w:sz w:val="24"/>
              </w:rPr>
              <w:t>0.000</w:t>
            </w:r>
          </w:p>
        </w:tc>
        <w:tc>
          <w:tcPr>
            <w:tcW w:type="dxa" w:w="1224"/>
          </w:tcPr>
          <w:p>
            <w:pPr>
              <w:spacing w:after="60" w:line="252" w:lineRule="auto"/>
            </w:pPr>
            <w:r>
              <w:rPr>
                <w:rFonts w:ascii="Times New Roman" w:hAnsi="Times New Roman"/>
                <w:b w:val="0"/>
                <w:color w:val="000000"/>
                <w:sz w:val="24"/>
              </w:rPr>
              <w:t>0.469</w:t>
            </w:r>
          </w:p>
        </w:tc>
        <w:tc>
          <w:tcPr>
            <w:tcW w:type="dxa" w:w="1440"/>
          </w:tcPr>
          <w:p>
            <w:pPr>
              <w:spacing w:after="60" w:line="252" w:lineRule="auto"/>
            </w:pPr>
            <w:r>
              <w:rPr>
                <w:rFonts w:ascii="Times New Roman" w:hAnsi="Times New Roman"/>
                <w:b w:val="0"/>
                <w:color w:val="000000"/>
                <w:sz w:val="24"/>
              </w:rPr>
              <w:t>0.500</w:t>
            </w:r>
          </w:p>
        </w:tc>
      </w:tr>
    </w:tbl>
    <w:p>
      <w:pPr>
        <w:keepLines/>
        <w:spacing w:after="140" w:line="252" w:lineRule="auto"/>
      </w:pPr>
      <w:r>
        <w:rPr>
          <w:rFonts w:ascii="Times New Roman" w:hAnsi="Times New Roman"/>
          <w:b w:val="0"/>
          <w:color w:val="000000"/>
          <w:sz w:val="24"/>
        </w:rPr>
      </w:r>
    </w:p>
    <w:tbl>
      <w:tblPr>
        <w:tblStyle w:val="TableGrid"/>
        <w:tblW w:type="auto" w:w="0"/>
        <w:tblLayout w:type="fixed"/>
        <w:tblLook w:firstColumn="1" w:firstRow="1" w:lastColumn="0" w:lastRow="0" w:noHBand="0" w:noVBand="1" w:val="04A0"/>
      </w:tblPr>
      <w:tblGrid>
        <w:gridCol w:w="4320"/>
        <w:gridCol w:w="1728"/>
        <w:gridCol w:w="1728"/>
        <w:gridCol w:w="1728"/>
      </w:tblGrid>
      <w:tr>
        <w:trPr>
          <w:tblHeader/>
          <w:cantSplit/>
        </w:trPr>
        <w:tc>
          <w:tcPr>
            <w:tcW w:type="dxa" w:w="4320"/>
            <w:shd w:fill="D9EAF7"/>
          </w:tcPr>
          <w:p>
            <w:pPr>
              <w:spacing w:after="60" w:line="252" w:lineRule="auto"/>
            </w:pPr>
            <w:r>
              <w:rPr>
                <w:rFonts w:ascii="Times New Roman" w:hAnsi="Times New Roman"/>
                <w:b/>
                <w:color w:val="000000"/>
                <w:sz w:val="24"/>
              </w:rPr>
              <w:t>Validation model</w:t>
            </w:r>
          </w:p>
        </w:tc>
        <w:tc>
          <w:tcPr>
            <w:tcW w:type="dxa" w:w="1728"/>
            <w:shd w:fill="D9EAF7"/>
          </w:tcPr>
          <w:p>
            <w:pPr>
              <w:spacing w:after="60" w:line="252" w:lineRule="auto"/>
            </w:pPr>
            <w:r>
              <w:rPr>
                <w:rFonts w:ascii="Times New Roman" w:hAnsi="Times New Roman"/>
                <w:b/>
                <w:color w:val="000000"/>
                <w:sz w:val="24"/>
              </w:rPr>
              <w:t>F1</w:t>
            </w:r>
          </w:p>
        </w:tc>
        <w:tc>
          <w:tcPr>
            <w:tcW w:type="dxa" w:w="1728"/>
            <w:shd w:fill="D9EAF7"/>
          </w:tcPr>
          <w:p>
            <w:pPr>
              <w:spacing w:after="60" w:line="252" w:lineRule="auto"/>
            </w:pPr>
            <w:r>
              <w:rPr>
                <w:rFonts w:ascii="Times New Roman" w:hAnsi="Times New Roman"/>
                <w:b/>
                <w:color w:val="000000"/>
                <w:sz w:val="24"/>
              </w:rPr>
              <w:t>PR-AUC</w:t>
            </w:r>
          </w:p>
        </w:tc>
        <w:tc>
          <w:tcPr>
            <w:tcW w:type="dxa" w:w="1728"/>
            <w:shd w:fill="D9EAF7"/>
          </w:tcPr>
          <w:p>
            <w:pPr>
              <w:spacing w:after="60" w:line="252" w:lineRule="auto"/>
            </w:pPr>
            <w:r>
              <w:rPr>
                <w:rFonts w:ascii="Times New Roman" w:hAnsi="Times New Roman"/>
                <w:b/>
                <w:color w:val="000000"/>
                <w:sz w:val="24"/>
              </w:rPr>
              <w:t>Threshold</w:t>
            </w:r>
          </w:p>
        </w:tc>
      </w:tr>
      <w:tr>
        <w:trPr>
          <w:cantSplit/>
        </w:trPr>
        <w:tc>
          <w:tcPr>
            <w:tcW w:type="dxa" w:w="4320"/>
          </w:tcPr>
          <w:p>
            <w:pPr>
              <w:spacing w:after="60" w:line="252" w:lineRule="auto"/>
            </w:pPr>
            <w:r>
              <w:rPr>
                <w:rFonts w:ascii="Times New Roman" w:hAnsi="Times New Roman"/>
                <w:b w:val="0"/>
                <w:color w:val="000000"/>
                <w:sz w:val="24"/>
              </w:rPr>
              <w:t>A Static XGBoost</w:t>
            </w:r>
          </w:p>
        </w:tc>
        <w:tc>
          <w:tcPr>
            <w:tcW w:type="dxa" w:w="1728"/>
          </w:tcPr>
          <w:p>
            <w:pPr>
              <w:spacing w:after="60" w:line="252" w:lineRule="auto"/>
            </w:pPr>
            <w:r>
              <w:rPr>
                <w:rFonts w:ascii="Times New Roman" w:hAnsi="Times New Roman"/>
                <w:b w:val="0"/>
                <w:color w:val="000000"/>
                <w:sz w:val="24"/>
              </w:rPr>
              <w:t>0.673</w:t>
            </w:r>
          </w:p>
        </w:tc>
        <w:tc>
          <w:tcPr>
            <w:tcW w:type="dxa" w:w="1728"/>
          </w:tcPr>
          <w:p>
            <w:pPr>
              <w:spacing w:after="60" w:line="252" w:lineRule="auto"/>
            </w:pPr>
            <w:r>
              <w:rPr>
                <w:rFonts w:ascii="Times New Roman" w:hAnsi="Times New Roman"/>
                <w:b w:val="0"/>
                <w:color w:val="000000"/>
                <w:sz w:val="24"/>
              </w:rPr>
              <w:t>0.687</w:t>
            </w:r>
          </w:p>
        </w:tc>
        <w:tc>
          <w:tcPr>
            <w:tcW w:type="dxa" w:w="1728"/>
          </w:tcPr>
          <w:p>
            <w:pPr>
              <w:spacing w:after="60" w:line="252" w:lineRule="auto"/>
            </w:pPr>
            <w:r>
              <w:rPr>
                <w:rFonts w:ascii="Times New Roman" w:hAnsi="Times New Roman"/>
                <w:b w:val="0"/>
                <w:color w:val="000000"/>
                <w:sz w:val="24"/>
              </w:rPr>
              <w:t>0.300</w:t>
            </w:r>
          </w:p>
        </w:tc>
      </w:tr>
      <w:tr>
        <w:trPr>
          <w:cantSplit/>
        </w:trPr>
        <w:tc>
          <w:tcPr>
            <w:tcW w:type="dxa" w:w="4320"/>
          </w:tcPr>
          <w:p>
            <w:pPr>
              <w:spacing w:after="60" w:line="252" w:lineRule="auto"/>
            </w:pPr>
            <w:r>
              <w:rPr>
                <w:rFonts w:ascii="Times New Roman" w:hAnsi="Times New Roman"/>
                <w:b w:val="0"/>
                <w:color w:val="000000"/>
                <w:sz w:val="24"/>
              </w:rPr>
              <w:t>B Rainfall XGBoost</w:t>
            </w:r>
          </w:p>
        </w:tc>
        <w:tc>
          <w:tcPr>
            <w:tcW w:type="dxa" w:w="1728"/>
          </w:tcPr>
          <w:p>
            <w:pPr>
              <w:spacing w:after="60" w:line="252" w:lineRule="auto"/>
            </w:pPr>
            <w:r>
              <w:rPr>
                <w:rFonts w:ascii="Times New Roman" w:hAnsi="Times New Roman"/>
                <w:b w:val="0"/>
                <w:color w:val="000000"/>
                <w:sz w:val="24"/>
              </w:rPr>
              <w:t>0.620</w:t>
            </w:r>
          </w:p>
        </w:tc>
        <w:tc>
          <w:tcPr>
            <w:tcW w:type="dxa" w:w="1728"/>
          </w:tcPr>
          <w:p>
            <w:pPr>
              <w:spacing w:after="60" w:line="252" w:lineRule="auto"/>
            </w:pPr>
            <w:r>
              <w:rPr>
                <w:rFonts w:ascii="Times New Roman" w:hAnsi="Times New Roman"/>
                <w:b w:val="0"/>
                <w:color w:val="000000"/>
                <w:sz w:val="24"/>
              </w:rPr>
              <w:t>0.659</w:t>
            </w:r>
          </w:p>
        </w:tc>
        <w:tc>
          <w:tcPr>
            <w:tcW w:type="dxa" w:w="1728"/>
          </w:tcPr>
          <w:p>
            <w:pPr>
              <w:spacing w:after="60" w:line="252" w:lineRule="auto"/>
            </w:pPr>
            <w:r>
              <w:rPr>
                <w:rFonts w:ascii="Times New Roman" w:hAnsi="Times New Roman"/>
                <w:b w:val="0"/>
                <w:color w:val="000000"/>
                <w:sz w:val="24"/>
              </w:rPr>
              <w:t>0.125</w:t>
            </w:r>
          </w:p>
        </w:tc>
      </w:tr>
    </w:tbl>
    <w:p>
      <w:pPr>
        <w:keepLines/>
        <w:spacing w:after="140" w:line="252" w:lineRule="auto"/>
      </w:pPr>
      <w:r>
        <w:rPr>
          <w:rFonts w:ascii="Times New Roman" w:hAnsi="Times New Roman"/>
          <w:b w:val="0"/>
          <w:color w:val="000000"/>
          <w:sz w:val="24"/>
        </w:rPr>
      </w:r>
    </w:p>
    <w:p>
      <w:pPr>
        <w:pStyle w:val="Heading1"/>
        <w:keepNext/>
        <w:keepLines/>
        <w:pageBreakBefore w:val="0"/>
        <w:spacing w:after="140" w:line="252" w:lineRule="auto" w:before="160"/>
      </w:pPr>
      <w:r>
        <w:rPr>
          <w:rFonts w:ascii="Times New Roman" w:hAnsi="Times New Roman"/>
          <w:b/>
          <w:color w:val="000000"/>
          <w:sz w:val="24"/>
        </w:rPr>
        <w:t>Interpretation</w:t>
      </w:r>
    </w:p>
    <w:p>
      <w:pPr>
        <w:keepLines/>
        <w:spacing w:after="140" w:line="252" w:lineRule="auto"/>
      </w:pPr>
      <w:r>
        <w:rPr>
          <w:rFonts w:ascii="Times New Roman" w:hAnsi="Times New Roman"/>
          <w:b w:val="0"/>
          <w:color w:val="000000"/>
          <w:sz w:val="24"/>
        </w:rPr>
        <w:t>Adding rainfall raises test recall from 64.8% to 80.2% and F1 from 0.591 to 0.619. Precision falls from 54.3% to 50.4%. False severe classifications rise from 160 to 231 among 332 other flood events. These are not false flood-occurrence alarms: every row already represents a flood.</w:t>
      </w:r>
    </w:p>
    <w:p>
      <w:pPr>
        <w:keepLines/>
        <w:spacing w:after="140" w:line="252" w:lineRule="auto"/>
      </w:pPr>
      <w:r>
        <w:rPr>
          <w:rFonts w:ascii="Times New Roman" w:hAnsi="Times New Roman"/>
          <w:b w:val="0"/>
          <w:color w:val="000000"/>
          <w:sz w:val="24"/>
        </w:rPr>
        <w:t>Both XGBoost F1 scores are below the always-severe baseline of 0.638. Their average precision is above the constant-score reference of 0.469, but this modest ranking skill does not establish a useful operating point. The training-prior baseline has slightly lower Brier error than either XGBoost version, so calibrated probability claims are unsupported.</w:t>
      </w:r>
    </w:p>
    <w:p>
      <w:pPr>
        <w:keepLines/>
        <w:spacing w:after="140" w:line="252" w:lineRule="auto"/>
      </w:pPr>
      <w:r>
        <w:rPr>
          <w:rFonts w:ascii="Times New Roman" w:hAnsi="Times New Roman"/>
          <w:b w:val="0"/>
          <w:color w:val="000000"/>
          <w:sz w:val="24"/>
        </w:rPr>
        <w:t>The observed rainfall-minus-static improvement is uncertain. Paired gauge-cluster bootstrap 95% intervals are −0.029 to 0.121 for average precision and −0.028 to 0.087 for F1. Both include zero. The static validation winner remains the frozen selection; it is not replaced using test results.</w:t>
      </w:r>
    </w:p>
    <w:p>
      <w:pPr>
        <w:pStyle w:val="Heading1"/>
        <w:keepNext/>
        <w:keepLines/>
        <w:pageBreakBefore/>
        <w:spacing w:after="140" w:line="252" w:lineRule="auto" w:before="160"/>
      </w:pPr>
      <w:r>
        <w:rPr>
          <w:rFonts w:ascii="Times New Roman" w:hAnsi="Times New Roman"/>
          <w:b/>
          <w:color w:val="000000"/>
          <w:sz w:val="24"/>
        </w:rPr>
        <w:t>4 Visual comparison on held out events</w:t>
      </w:r>
    </w:p>
    <w:p>
      <w:pPr>
        <w:keepNext/>
        <w:keepLines/>
        <w:spacing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943600" cy="2791691"/>
            <wp:docPr id="1" name="Picture 1" descr="Figure 1 Precision and recall across model score thresholds"/>
            <wp:cNvGraphicFramePr>
              <a:graphicFrameLocks noChangeAspect="1"/>
            </wp:cNvGraphicFramePr>
            <a:graphic>
              <a:graphicData uri="http://schemas.openxmlformats.org/drawingml/2006/picture">
                <pic:pic>
                  <pic:nvPicPr>
                    <pic:cNvPr id="0" name="precision_recall.png"/>
                    <pic:cNvPicPr/>
                  </pic:nvPicPr>
                  <pic:blipFill>
                    <a:blip r:embed="rId18"/>
                    <a:stretch>
                      <a:fillRect/>
                    </a:stretch>
                  </pic:blipFill>
                  <pic:spPr>
                    <a:xfrm>
                      <a:off x="0" y="0"/>
                      <a:ext cx="5943600" cy="2791691"/>
                    </a:xfrm>
                    <a:prstGeom prst="rect"/>
                  </pic:spPr>
                </pic:pic>
              </a:graphicData>
            </a:graphic>
          </wp:inline>
        </w:drawing>
      </w:r>
    </w:p>
    <w:p>
      <w:pPr>
        <w:keepNext/>
        <w:keepLines/>
        <w:spacing w:after="140" w:line="252" w:lineRule="auto"/>
      </w:pPr>
      <w:r>
        <w:rPr>
          <w:rFonts w:ascii="Times New Roman" w:hAnsi="Times New Roman"/>
          <w:b/>
          <w:color w:val="000000"/>
          <w:sz w:val="24"/>
        </w:rPr>
        <w:t>Figure 1 Precision and recall across model score thresholds</w:t>
      </w:r>
    </w:p>
    <w:p>
      <w:pPr>
        <w:keepLines/>
        <w:spacing w:after="140" w:line="252" w:lineRule="auto"/>
      </w:pPr>
      <w:r>
        <w:rPr>
          <w:rFonts w:ascii="Times New Roman" w:hAnsi="Times New Roman"/>
          <w:b w:val="0"/>
          <w:color w:val="000000"/>
          <w:sz w:val="24"/>
        </w:rPr>
        <w:t>The dashed line is the severe-event share in the final test. A useful ranking should maintain precision above this reference while recovering severe events. The curves describe the same 625 events and do not authorise retuning thresholds on the test.</w:t>
      </w:r>
    </w:p>
    <w:p>
      <w:pPr>
        <w:keepNext/>
        <w:keepLines/>
        <w:spacing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943600" cy="2431473"/>
            <wp:docPr id="2" name="Picture 2" descr="Figure 2 Predictions at the frozen decision thresholds"/>
            <wp:cNvGraphicFramePr>
              <a:graphicFrameLocks noChangeAspect="1"/>
            </wp:cNvGraphicFramePr>
            <a:graphic>
              <a:graphicData uri="http://schemas.openxmlformats.org/drawingml/2006/picture">
                <pic:pic>
                  <pic:nvPicPr>
                    <pic:cNvPr id="0" name="confusion_matrices.png"/>
                    <pic:cNvPicPr/>
                  </pic:nvPicPr>
                  <pic:blipFill>
                    <a:blip r:embed="rId19"/>
                    <a:stretch>
                      <a:fillRect/>
                    </a:stretch>
                  </pic:blipFill>
                  <pic:spPr>
                    <a:xfrm>
                      <a:off x="0" y="0"/>
                      <a:ext cx="5943600" cy="2431473"/>
                    </a:xfrm>
                    <a:prstGeom prst="rect"/>
                  </pic:spPr>
                </pic:pic>
              </a:graphicData>
            </a:graphic>
          </wp:inline>
        </w:drawing>
      </w:r>
    </w:p>
    <w:p>
      <w:pPr>
        <w:keepNext/>
        <w:keepLines/>
        <w:spacing w:after="140" w:line="252" w:lineRule="auto"/>
      </w:pPr>
      <w:r>
        <w:rPr>
          <w:rFonts w:ascii="Times New Roman" w:hAnsi="Times New Roman"/>
          <w:b/>
          <w:color w:val="000000"/>
          <w:sz w:val="24"/>
        </w:rPr>
        <w:t>Figure 2 Predictions at the frozen decision thresholds</w:t>
      </w:r>
    </w:p>
    <w:p>
      <w:pPr>
        <w:keepLines/>
        <w:spacing w:after="140" w:line="252" w:lineRule="auto"/>
      </w:pPr>
      <w:r>
        <w:rPr>
          <w:rFonts w:ascii="Times New Roman" w:hAnsi="Times New Roman"/>
          <w:b w:val="0"/>
          <w:color w:val="000000"/>
          <w:sz w:val="24"/>
        </w:rPr>
        <w:t>Static XGBoost misses 103 severe events and classifies 160 other floods as severe. Rainfall XGBoost misses 58 severe events and classifies 231 other floods as severe. Improved recall therefore comes with substantially more false severe classifications.</w:t>
      </w:r>
    </w:p>
    <w:p>
      <w:pPr>
        <w:pStyle w:val="Heading1"/>
        <w:keepNext/>
        <w:keepLines/>
        <w:pageBreakBefore/>
        <w:spacing w:after="140" w:line="252" w:lineRule="auto" w:before="160"/>
      </w:pPr>
      <w:r>
        <w:rPr>
          <w:rFonts w:ascii="Times New Roman" w:hAnsi="Times New Roman"/>
          <w:b/>
          <w:color w:val="000000"/>
          <w:sz w:val="24"/>
        </w:rPr>
        <w:t>5 Evaluation and next steps</w:t>
      </w:r>
    </w:p>
    <w:p>
      <w:pPr>
        <w:keepLines/>
        <w:spacing w:after="140" w:line="252" w:lineRule="auto"/>
      </w:pPr>
      <w:r>
        <w:rPr>
          <w:rFonts w:ascii="Times New Roman" w:hAnsi="Times New Roman"/>
          <w:b w:val="0"/>
          <w:color w:val="000000"/>
          <w:sz w:val="24"/>
        </w:rPr>
        <w:t>Neither experiment establishes flood/no-flood prediction or next-week rainfall forecasting. The target is conditional event severity, and the rainfall windows are aligned to a known flood onset. A production occurrence model would need monitored non-event periods and an explicit prediction horizon. An absence from either event inventory is not sufficient evidence of no flood.</w:t>
      </w:r>
    </w:p>
    <w:p>
      <w:pPr>
        <w:keepLines/>
        <w:spacing w:after="140" w:line="252" w:lineRule="auto"/>
      </w:pPr>
      <w:r>
        <w:rPr>
          <w:rFonts w:ascii="Times New Roman" w:hAnsi="Times New Roman"/>
          <w:b w:val="0"/>
          <w:color w:val="000000"/>
          <w:sz w:val="24"/>
        </w:rPr>
        <w:t>Transfer to new gauges is weak. The validation-selected static model has ROC-AUC 0.741 for 318 test events at training gauges and 0.423 for 307 events at new gauges. We report the complete test population rather than removing difficult gauges or narrowing geography after seeing results. Repeated events within gauges and modern static covariates limit generalisation claims.</w:t>
      </w:r>
    </w:p>
    <w:p>
      <w:pPr>
        <w:keepLines/>
        <w:spacing w:after="140" w:line="252" w:lineRule="auto"/>
      </w:pPr>
      <w:r>
        <w:rPr>
          <w:rFonts w:ascii="Times New Roman" w:hAnsi="Times New Roman"/>
          <w:b w:val="0"/>
          <w:color w:val="000000"/>
          <w:sz w:val="24"/>
        </w:rPr>
        <w:t>We preserve both trained pipelines, their preprocessing, selected parameters, raw feature lists, native XGBoost models and final predictions. The current website retains its original classifier because its target and inputs differ. The new results cannot be compared numerically with the old model’s unverified accuracy claims.</w:t>
      </w:r>
    </w:p>
    <w:p>
      <w:pPr>
        <w:pStyle w:val="Heading1"/>
        <w:keepNext/>
        <w:keepLines/>
        <w:pageBreakBefore w:val="0"/>
        <w:spacing w:after="140" w:line="252" w:lineRule="auto" w:before="160"/>
      </w:pPr>
      <w:r>
        <w:rPr>
          <w:rFonts w:ascii="Times New Roman" w:hAnsi="Times New Roman"/>
          <w:b/>
          <w:color w:val="000000"/>
          <w:sz w:val="24"/>
        </w:rPr>
        <w:t>Reproducibility</w:t>
      </w:r>
    </w:p>
    <w:p>
      <w:pPr>
        <w:keepLines/>
        <w:spacing w:after="140" w:line="252" w:lineRule="auto"/>
      </w:pPr>
      <w:r>
        <w:rPr>
          <w:rFonts w:ascii="Times New Roman" w:hAnsi="Times New Roman"/>
          <w:b w:val="0"/>
          <w:color w:val="000000"/>
          <w:sz w:val="24"/>
        </w:rPr>
        <w:t>Experiment folder: experiments/indofloods_severity_v1/. Read COMPARISON_REPORT.md, protocol.json, selection.json and final_results.json. Fitted pipelines and native UBJ models are in models/. The merged event dataset, exclusions and frozen split manifest are in data/. No new dataset was obtained beyond the user-supplied files.</w:t>
      </w:r>
    </w:p>
    <w:p>
      <w:pPr>
        <w:keepLines/>
        <w:spacing w:after="140" w:line="252" w:lineRule="auto"/>
      </w:pPr>
      <w:r>
        <w:rPr>
          <w:rFonts w:ascii="Times New Roman" w:hAnsi="Times New Roman"/>
          <w:b w:val="0"/>
          <w:color w:val="000000"/>
          <w:sz w:val="24"/>
        </w:rPr>
        <w:t>From the RiskRadar folder, use the project Python environment with scripts/compare_indofloods_xgboost.py. Run prepare with --source C:/Users/Dell/Downloads, then select, then evaluate. This completed run refuses to overwrite a frozen selection or repeat final evaluation. A new experiment version and an independent future test period are required for further selection.</w:t>
      </w:r>
    </w:p>
    <w:p>
      <w:pPr>
        <w:pStyle w:val="Heading1"/>
        <w:keepNext/>
        <w:keepLines/>
        <w:pageBreakBefore w:val="0"/>
        <w:spacing w:after="140" w:line="252" w:lineRule="auto" w:before="160"/>
      </w:pPr>
      <w:r>
        <w:rPr>
          <w:rFonts w:ascii="Times New Roman" w:hAnsi="Times New Roman"/>
          <w:b/>
          <w:color w:val="000000"/>
          <w:sz w:val="24"/>
        </w:rPr>
        <w:t>Sources</w:t>
      </w:r>
    </w:p>
    <w:p>
      <w:pPr>
        <w:keepLines/>
        <w:spacing w:after="140" w:line="252" w:lineRule="auto"/>
      </w:pPr>
      <w:r>
        <w:rPr>
          <w:rFonts w:ascii="Times New Roman" w:hAnsi="Times New Roman"/>
          <w:b w:val="0"/>
          <w:color w:val="000000"/>
          <w:sz w:val="24"/>
        </w:rPr>
        <w:t>Kuntla and Saharia (2025). INDOFLOODS. Dataset: https://zenodo.org/records/14584655. Article: https://doi.org/10.1175/BAMS-D-24-0008.1.</w:t>
      </w:r>
    </w:p>
    <w:p>
      <w:pPr>
        <w:keepLines/>
        <w:spacing w:after="140" w:line="252" w:lineRule="auto"/>
      </w:pPr>
      <w:r>
        <w:rPr>
          <w:rFonts w:ascii="Times New Roman" w:hAnsi="Times New Roman"/>
          <w:b w:val="0"/>
          <w:color w:val="000000"/>
          <w:sz w:val="24"/>
        </w:rPr>
        <w:t>Supplied variables_description_indofloods.pdf, pages 5 and 12: flood-type definition and pre-event precipitation windows. The tabulated severe class uses an inclusive danger-level boundary; source labels are preserved.</w:t>
      </w:r>
    </w:p>
    <w:p>
      <w:pPr>
        <w:keepLines/>
        <w:spacing w:after="140" w:line="252" w:lineRule="auto"/>
      </w:pPr>
      <w:r>
        <w:rPr>
          <w:rFonts w:ascii="Times New Roman" w:hAnsi="Times New Roman"/>
          <w:b w:val="0"/>
          <w:color w:val="000000"/>
          <w:sz w:val="24"/>
        </w:rPr>
        <w:t>Tang, Clark and Papalexiou (2022). EM-Earth, 1950–2019. https://doi.org/10.1175/BAMS-D-21-0106.1.</w:t>
      </w:r>
    </w:p>
    <w:p>
      <w:pPr>
        <w:keepLines/>
        <w:spacing w:after="140" w:line="252" w:lineRule="auto"/>
      </w:pPr>
      <w:r>
        <w:rPr>
          <w:rFonts w:ascii="Times New Roman" w:hAnsi="Times New Roman"/>
          <w:b w:val="0"/>
          <w:color w:val="000000"/>
          <w:sz w:val="24"/>
        </w:rPr>
        <w:t>India Flood Inventory Impacts: https://zenodo.org/records/16994648. Its historical district summaries are not pre-event predictors in this experiment.</w:t>
      </w:r>
    </w:p>
    <w:sectPr w:rsidR="00BE06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E458" w14:textId="77777777" w:rsidR="006515CA" w:rsidRDefault="006515CA">
      <w:pPr>
        <w:spacing w:after="0" w:line="240" w:lineRule="auto"/>
        <w:rPr>
          <w:rFonts w:hint="eastAsia"/>
        </w:rPr>
      </w:pPr>
      <w:r>
        <w:separator/>
      </w:r>
    </w:p>
  </w:endnote>
  <w:endnote w:type="continuationSeparator" w:id="0">
    <w:p w14:paraId="33C673CA" w14:textId="77777777" w:rsidR="006515CA" w:rsidRDefault="006515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4182" w14:textId="77777777" w:rsidR="00BE0607" w:rsidRDefault="00000000">
    <w:pPr>
      <w:pStyle w:val="Footer"/>
      <w:jc w:val="center"/>
      <w:rPr>
        <w:rFonts w:hint="eastAsia"/>
      </w:rPr>
    </w:pPr>
    <w:r>
      <w:rPr>
        <w:rFonts w:ascii="Times New Roman" w:hAnsi="Times New Roman"/>
        <w:b w:val="0"/>
        <w:color w:val="000000"/>
        <w:sz w:val="16"/>
      </w:rPr>
      <w:t xml:space="preserve">Model Training Comparison Report  |  Page </w:t>
    </w:r>
    <w:fldSimple w:instr="PAGE">
      <w:r>
        <w:rPr>
          <w:rFonts w:ascii="Times New Roman" w:hAnsi="Times New Roman"/>
          <w:b w:val="0"/>
          <w:color w:val="000000"/>
          <w:sz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8D00" w14:textId="77777777" w:rsidR="006515CA" w:rsidRDefault="006515CA">
      <w:pPr>
        <w:spacing w:after="0" w:line="240" w:lineRule="auto"/>
        <w:rPr>
          <w:rFonts w:hint="eastAsia"/>
        </w:rPr>
      </w:pPr>
      <w:r>
        <w:separator/>
      </w:r>
    </w:p>
  </w:footnote>
  <w:footnote w:type="continuationSeparator" w:id="0">
    <w:p w14:paraId="0D3E852F" w14:textId="77777777" w:rsidR="006515CA" w:rsidRDefault="006515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3773" w14:textId="77777777" w:rsidR="00BE0607" w:rsidRDefault="00000000">
    <w:pPr>
      <w:pStyle w:val="Header"/>
      <w:jc w:val="right"/>
      <w:rPr>
        <w:rFonts w:hint="eastAsia"/>
      </w:rPr>
    </w:pPr>
    <w:r>
      <w:rPr>
        <w:rFonts w:ascii="Times New Roman" w:hAnsi="Times New Roman"/>
        <w:b w:val="0"/>
        <w:color w:val="000000"/>
        <w:sz w:val="16"/>
      </w:rPr>
      <w:t>APPLIED DATA SCIENCE  |  XGBOOST MODEL COMPARISON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565555">
    <w:abstractNumId w:val="8"/>
  </w:num>
  <w:num w:numId="2" w16cid:durableId="1367290265">
    <w:abstractNumId w:val="6"/>
  </w:num>
  <w:num w:numId="3" w16cid:durableId="146895336">
    <w:abstractNumId w:val="5"/>
  </w:num>
  <w:num w:numId="4" w16cid:durableId="714696956">
    <w:abstractNumId w:val="4"/>
  </w:num>
  <w:num w:numId="5" w16cid:durableId="595945124">
    <w:abstractNumId w:val="7"/>
  </w:num>
  <w:num w:numId="6" w16cid:durableId="556821444">
    <w:abstractNumId w:val="3"/>
  </w:num>
  <w:num w:numId="7" w16cid:durableId="240531959">
    <w:abstractNumId w:val="2"/>
  </w:num>
  <w:num w:numId="8" w16cid:durableId="1997567897">
    <w:abstractNumId w:val="1"/>
  </w:num>
  <w:num w:numId="9" w16cid:durableId="171333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5EBB"/>
    <w:rsid w:val="006515CA"/>
    <w:rsid w:val="00947FEA"/>
    <w:rsid w:val="00AA1D8D"/>
    <w:rsid w:val="00AD56E6"/>
    <w:rsid w:val="00B47730"/>
    <w:rsid w:val="00BE06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463F"/>
  <w14:defaultImageDpi w14:val="300"/>
  <w15:docId w15:val="{67F81BCE-2481-4A9B-AF96-15E86C5545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and Flood Severity Model Comparison</dc:title>
  <dc:subject>New XGBoost training and independent chronological evaluation</dc:subject>
  <dc:creator/>
  <cp:keywords>Rainfall GloFlo ERA5 XGBoost validation</cp:keywords>
  <dc:description/>
  <cp:lastModifiedBy/>
  <cp:revision>2</cp:revision>
  <dcterms:created xsi:type="dcterms:W3CDTF">2026-10-24T04:10:00Z</dcterms:created>
  <dcterms:modified xsi:type="dcterms:W3CDTF">2026-10-24T04:10:00Z</dcterms:modified>
  <cp:category/>
</cp:coreProperties>
</file>