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TruthLens AI</w:t>
      </w:r>
    </w:p>
    <w:p>
      <w:r>
        <w:rPr>
          <w:b/>
        </w:rPr>
        <w:t>OFFICIAL PROBLEM STATEMENT  •  TWO-PERSON EXECUTION &amp; INTEGRATION PLAN</w:t>
      </w:r>
    </w:p>
    <w:p>
      <w:pPr>
        <w:pStyle w:val="SmallNote"/>
      </w:pPr>
      <w:r>
        <w:rPr>
          <w:b w:val="0"/>
        </w:rPr>
        <w:t>Challenge: “Is this forward true?”  |  AI/ML: LLMs, agents, multimodal and RAG  |  Target: accessible web application; WhatsApp connector optional.</w:t>
      </w:r>
    </w:p>
    <w:p>
      <w:pPr>
        <w:pStyle w:val="Heading1"/>
      </w:pPr>
      <w:r>
        <w:t>01  What the judges actually require</w:t>
      </w:r>
    </w:p>
    <w:p>
      <w:r>
        <w:rPr>
          <w:b w:val="0"/>
        </w:rPr>
        <w:t>Build an accessible assistant that fact-checks forwarded information in any supported format and explains what it found in plain words, in the user’s own language. The system must demonstrate extraction, independently checkable claims, authoritative evidence and understandable explanations—not merely a chatbot or binary label.</w:t>
      </w:r>
    </w:p>
    <w:tbl>
      <w:tblPr>
        <w:tblStyle w:val="LightShading-Accent1"/>
        <w:tblW w:type="auto" w:w="0"/>
        <w:jc w:val="center"/>
        <w:tblLayout w:type="autofit"/>
        <w:tblLook w:firstColumn="1" w:firstRow="1" w:lastColumn="0" w:lastRow="0" w:noHBand="0" w:noVBand="1" w:val="04A0"/>
      </w:tblPr>
      <w:tblGrid>
        <w:gridCol w:w="5011"/>
        <w:gridCol w:w="5011"/>
      </w:tblGrid>
      <w:tr>
        <w:trPr>
          <w:cantSplit/>
        </w:trPr>
        <w:tc>
          <w:tcPr>
            <w:tcW w:type="dxa" w:w="2880"/>
            <w:shd w:fill="153852"/>
          </w:tcPr>
          <w:p>
            <w:r>
              <w:rPr>
                <w:b/>
                <w:color w:val="FFFFFF"/>
                <w:sz w:val="16"/>
              </w:rPr>
              <w:t>OFFICIAL REQUIREMENT</w:t>
            </w:r>
          </w:p>
        </w:tc>
        <w:tc>
          <w:tcPr>
            <w:tcW w:type="dxa" w:w="6984"/>
            <w:shd w:fill="153852"/>
          </w:tcPr>
          <w:p>
            <w:r>
              <w:rPr>
                <w:b/>
                <w:color w:val="FFFFFF"/>
                <w:sz w:val="16"/>
              </w:rPr>
              <w:t>NON-NEGOTIABLE DEMO OUTPUT</w:t>
            </w:r>
          </w:p>
        </w:tc>
      </w:tr>
      <w:tr>
        <w:trPr>
          <w:cantSplit/>
        </w:trPr>
        <w:tc>
          <w:tcPr>
            <w:tcW w:type="dxa" w:w="2880"/>
            <w:vAlign w:val="center"/>
            <w:shd w:fill="F1F6F8"/>
          </w:tcPr>
          <w:p>
            <w:pPr>
              <w:spacing w:after="20"/>
            </w:pPr>
            <w:r>
              <w:rPr>
                <w:sz w:val="16"/>
              </w:rPr>
              <w:t>1. Take anything in</w:t>
            </w:r>
          </w:p>
        </w:tc>
        <w:tc>
          <w:tcPr>
            <w:tcW w:type="dxa" w:w="6984"/>
            <w:vAlign w:val="center"/>
            <w:shd w:fill="F1F6F8"/>
          </w:tcPr>
          <w:p>
            <w:pPr>
              <w:spacing w:after="20"/>
            </w:pPr>
            <w:r>
              <w:rPr>
                <w:sz w:val="16"/>
              </w:rPr>
              <w:t>Pasted/forwarded text, screenshot OCR, voice-note transcription, PDF text/scanned-page extraction and public news/article URL extraction.</w:t>
            </w:r>
          </w:p>
        </w:tc>
      </w:tr>
      <w:tr>
        <w:trPr>
          <w:cantSplit/>
        </w:trPr>
        <w:tc>
          <w:tcPr>
            <w:tcW w:type="dxa" w:w="2880"/>
            <w:vAlign w:val="center"/>
          </w:tcPr>
          <w:p>
            <w:pPr>
              <w:spacing w:after="20"/>
            </w:pPr>
            <w:r>
              <w:rPr>
                <w:sz w:val="16"/>
              </w:rPr>
              <w:t>2. Find the claims</w:t>
            </w:r>
          </w:p>
        </w:tc>
        <w:tc>
          <w:tcPr>
            <w:tcW w:type="dxa" w:w="6984"/>
            <w:vAlign w:val="center"/>
          </w:tcPr>
          <w:p>
            <w:pPr>
              <w:spacing w:after="20"/>
            </w:pPr>
            <w:r>
              <w:rPr>
                <w:sz w:val="16"/>
              </w:rPr>
              <w:t>Show each independently checkable assertion separately; include amounts, dates, entities and contextual qualifiers.</w:t>
            </w:r>
          </w:p>
        </w:tc>
      </w:tr>
      <w:tr>
        <w:trPr>
          <w:cantSplit/>
        </w:trPr>
        <w:tc>
          <w:tcPr>
            <w:tcW w:type="dxa" w:w="2880"/>
            <w:vAlign w:val="center"/>
            <w:shd w:fill="F1F6F8"/>
          </w:tcPr>
          <w:p>
            <w:pPr>
              <w:spacing w:after="20"/>
            </w:pPr>
            <w:r>
              <w:rPr>
                <w:sz w:val="16"/>
              </w:rPr>
              <w:t>3. Check the facts</w:t>
            </w:r>
          </w:p>
        </w:tc>
        <w:tc>
          <w:tcPr>
            <w:tcW w:type="dxa" w:w="6984"/>
            <w:vAlign w:val="center"/>
            <w:shd w:fill="F1F6F8"/>
          </w:tcPr>
          <w:p>
            <w:pPr>
              <w:spacing w:after="20"/>
            </w:pPr>
            <w:r>
              <w:rPr>
                <w:sz w:val="16"/>
              </w:rPr>
              <w:t>For each claim show actual retrieved authoritative/reputable sources, what each says, evidence stance and date, plus uncertainty.</w:t>
            </w:r>
          </w:p>
        </w:tc>
      </w:tr>
      <w:tr>
        <w:trPr>
          <w:cantSplit/>
        </w:trPr>
        <w:tc>
          <w:tcPr>
            <w:tcW w:type="dxa" w:w="2880"/>
            <w:vAlign w:val="center"/>
          </w:tcPr>
          <w:p>
            <w:pPr>
              <w:spacing w:after="20"/>
            </w:pPr>
            <w:r>
              <w:rPr>
                <w:sz w:val="16"/>
              </w:rPr>
              <w:t>4. Explain simply</w:t>
            </w:r>
          </w:p>
        </w:tc>
        <w:tc>
          <w:tcPr>
            <w:tcW w:type="dxa" w:w="6984"/>
            <w:vAlign w:val="center"/>
          </w:tcPr>
          <w:p>
            <w:pPr>
              <w:spacing w:after="20"/>
            </w:pPr>
            <w:r>
              <w:rPr>
                <w:sz w:val="16"/>
              </w:rPr>
              <w:t>Clear result explaining what is correct, incorrect, missing or outdated in plain English/Hindi/Marathi; suitable for less tech-savvy users.</w:t>
            </w:r>
          </w:p>
        </w:tc>
      </w:tr>
    </w:tbl>
    <w:p>
      <w:pPr>
        <w:spacing w:after="0"/>
      </w:pPr>
    </w:p>
    <w:p>
      <w:pPr>
        <w:pStyle w:val="Heading2"/>
      </w:pPr>
      <w:r>
        <w:t>Definition of done for the core product</w:t>
      </w:r>
    </w:p>
    <w:p>
      <w:pPr>
        <w:pStyle w:val="ListBullet"/>
        <w:spacing w:after="60"/>
        <w:ind w:left="230" w:hanging="115"/>
      </w:pPr>
      <w:r>
        <w:rPr>
          <w:b w:val="0"/>
        </w:rPr>
        <w:t>Every requested input format has a functioning end-to-end path: input → extracted text → claim list → evidence ledger → verdict → local-language explanation.</w:t>
      </w:r>
    </w:p>
    <w:p>
      <w:pPr>
        <w:pStyle w:val="ListBullet"/>
        <w:spacing w:after="60"/>
        <w:ind w:left="230" w:hanging="115"/>
      </w:pPr>
      <w:r>
        <w:rPr>
          <w:b w:val="0"/>
        </w:rPr>
        <w:t>An absence of search results NEVER proves a claim false; return “unconfirmed / insufficient evidence” when appropriate.</w:t>
      </w:r>
    </w:p>
    <w:p>
      <w:pPr>
        <w:pStyle w:val="ListBullet"/>
        <w:spacing w:after="60"/>
        <w:ind w:left="230" w:hanging="115"/>
      </w:pPr>
      <w:r>
        <w:rPr>
          <w:b w:val="0"/>
        </w:rPr>
        <w:t>Sources are not just links: every evidence record identifies the publisher, actual source URL, relevant statement, publication/verification date and whether it supports or contradicts the claim.</w:t>
      </w:r>
    </w:p>
    <w:p>
      <w:pPr>
        <w:pStyle w:val="ListBullet"/>
        <w:spacing w:after="60"/>
        <w:ind w:left="230" w:hanging="115"/>
      </w:pPr>
      <w:r>
        <w:rPr>
          <w:b w:val="0"/>
        </w:rPr>
        <w:t>A usable demo exists on the WEB even if WhatsApp Business approval or production account activation is delayed.</w:t>
      </w:r>
    </w:p>
    <w:p>
      <w:pPr>
        <w:pStyle w:val="SmallNote"/>
      </w:pPr>
      <w:r>
        <w:rPr>
          <w:b/>
          <w:color w:val="0D7B80"/>
        </w:rPr>
        <w:t>SCOPE RULE</w:t>
      </w:r>
    </w:p>
    <w:p>
      <w:r>
        <w:rPr>
          <w:b w:val="0"/>
        </w:rPr>
        <w:t>The original 10 differentiator ideas remain valuable extensions, but they MUST NOT displace the four official requirements. Build demonstrable quality before adding more features.</w:t>
      </w:r>
    </w:p>
    <w:p>
      <w:r>
        <w:br w:type="page"/>
      </w:r>
    </w:p>
    <w:p>
      <w:pPr>
        <w:pStyle w:val="SmallNote"/>
      </w:pPr>
      <w:r>
        <w:rPr>
          <w:b/>
          <w:color w:val="0D7B80"/>
        </w:rPr>
        <w:t>DELIVERY OWNERSHIP</w:t>
      </w:r>
    </w:p>
    <w:p>
      <w:pPr>
        <w:pStyle w:val="Heading1"/>
      </w:pPr>
      <w:r>
        <w:t>02  Exact division of work</w:t>
      </w:r>
    </w:p>
    <w:p>
      <w:pPr>
        <w:pStyle w:val="Heading2"/>
      </w:pPr>
      <w:r>
        <w:t>Person 1 — AI / ML &amp; Backend Engineer</w:t>
      </w:r>
    </w:p>
    <w:p>
      <w:r>
        <w:rPr>
          <w:b w:val="0"/>
        </w:rPr>
        <w:t>Objective: build a reusable FastAPI verification engine that accepts all content types and returns defensible, fully attributed results.</w:t>
      </w:r>
    </w:p>
    <w:tbl>
      <w:tblPr>
        <w:tblStyle w:val="LightShading-Accent1"/>
        <w:tblW w:type="auto" w:w="0"/>
        <w:jc w:val="center"/>
        <w:tblLayout w:type="autofit"/>
        <w:tblLook w:firstColumn="1" w:firstRow="1" w:lastColumn="0" w:lastRow="0" w:noHBand="0" w:noVBand="1" w:val="04A0"/>
      </w:tblPr>
      <w:tblGrid>
        <w:gridCol w:w="5011"/>
        <w:gridCol w:w="5011"/>
      </w:tblGrid>
      <w:tr>
        <w:trPr>
          <w:cantSplit/>
        </w:trPr>
        <w:tc>
          <w:tcPr>
            <w:tcW w:type="dxa" w:w="2520"/>
            <w:shd w:fill="153852"/>
          </w:tcPr>
          <w:p>
            <w:r>
              <w:rPr>
                <w:b/>
                <w:color w:val="FFFFFF"/>
                <w:sz w:val="16"/>
              </w:rPr>
              <w:t>WORK PACKAGE</w:t>
            </w:r>
          </w:p>
        </w:tc>
        <w:tc>
          <w:tcPr>
            <w:tcW w:type="dxa" w:w="7344"/>
            <w:shd w:fill="153852"/>
          </w:tcPr>
          <w:p>
            <w:r>
              <w:rPr>
                <w:b/>
                <w:color w:val="FFFFFF"/>
                <w:sz w:val="16"/>
              </w:rPr>
              <w:t>PERSON 1 MUST DELIVER</w:t>
            </w:r>
          </w:p>
        </w:tc>
      </w:tr>
      <w:tr>
        <w:trPr>
          <w:cantSplit/>
        </w:trPr>
        <w:tc>
          <w:tcPr>
            <w:tcW w:type="dxa" w:w="2520"/>
            <w:vAlign w:val="center"/>
            <w:shd w:fill="F1F6F8"/>
          </w:tcPr>
          <w:p>
            <w:pPr>
              <w:spacing w:after="20"/>
            </w:pPr>
            <w:r>
              <w:rPr>
                <w:sz w:val="16"/>
              </w:rPr>
              <w:t>Backend / API foundation</w:t>
            </w:r>
          </w:p>
        </w:tc>
        <w:tc>
          <w:tcPr>
            <w:tcW w:type="dxa" w:w="7344"/>
            <w:vAlign w:val="center"/>
            <w:shd w:fill="F1F6F8"/>
          </w:tcPr>
          <w:p>
            <w:pPr>
              <w:spacing w:after="20"/>
            </w:pPr>
            <w:r>
              <w:rPr>
                <w:sz w:val="16"/>
              </w:rPr>
              <w:t>FastAPI app, validation, error handling, typed OpenAPI/Pydantic schemas, health and capability checks.</w:t>
            </w:r>
          </w:p>
        </w:tc>
      </w:tr>
      <w:tr>
        <w:trPr>
          <w:cantSplit/>
        </w:trPr>
        <w:tc>
          <w:tcPr>
            <w:tcW w:type="dxa" w:w="2520"/>
            <w:vAlign w:val="center"/>
          </w:tcPr>
          <w:p>
            <w:pPr>
              <w:spacing w:after="20"/>
            </w:pPr>
            <w:r>
              <w:rPr>
                <w:sz w:val="16"/>
              </w:rPr>
              <w:t>Five input formats</w:t>
            </w:r>
          </w:p>
        </w:tc>
        <w:tc>
          <w:tcPr>
            <w:tcW w:type="dxa" w:w="7344"/>
            <w:vAlign w:val="center"/>
          </w:tcPr>
          <w:p>
            <w:pPr>
              <w:spacing w:after="20"/>
            </w:pPr>
            <w:r>
              <w:rPr>
                <w:sz w:val="16"/>
              </w:rPr>
              <w:t>Text normalization, image OCR, voice transcription, PDF embedded-text + scanned fallback, SSRF-safe public URL extraction.</w:t>
            </w:r>
          </w:p>
        </w:tc>
      </w:tr>
      <w:tr>
        <w:trPr>
          <w:cantSplit/>
        </w:trPr>
        <w:tc>
          <w:tcPr>
            <w:tcW w:type="dxa" w:w="2520"/>
            <w:vAlign w:val="center"/>
            <w:shd w:fill="F1F6F8"/>
          </w:tcPr>
          <w:p>
            <w:pPr>
              <w:spacing w:after="20"/>
            </w:pPr>
            <w:r>
              <w:rPr>
                <w:sz w:val="16"/>
              </w:rPr>
              <w:t>Claim discovery</w:t>
            </w:r>
          </w:p>
        </w:tc>
        <w:tc>
          <w:tcPr>
            <w:tcW w:type="dxa" w:w="7344"/>
            <w:vAlign w:val="center"/>
            <w:shd w:fill="F1F6F8"/>
          </w:tcPr>
          <w:p>
            <w:pPr>
              <w:spacing w:after="20"/>
            </w:pPr>
            <w:r>
              <w:rPr>
                <w:sz w:val="16"/>
              </w:rPr>
              <w:t>LLM-based atomic claim extraction, checkability filtering, multilingual query generation and extracted claim spans.</w:t>
            </w:r>
          </w:p>
        </w:tc>
      </w:tr>
      <w:tr>
        <w:trPr>
          <w:cantSplit/>
        </w:trPr>
        <w:tc>
          <w:tcPr>
            <w:tcW w:type="dxa" w:w="2520"/>
            <w:vAlign w:val="center"/>
          </w:tcPr>
          <w:p>
            <w:pPr>
              <w:spacing w:after="20"/>
            </w:pPr>
            <w:r>
              <w:rPr>
                <w:sz w:val="16"/>
              </w:rPr>
              <w:t>Source-by-source evidence</w:t>
            </w:r>
          </w:p>
        </w:tc>
        <w:tc>
          <w:tcPr>
            <w:tcW w:type="dxa" w:w="7344"/>
            <w:vAlign w:val="center"/>
          </w:tcPr>
          <w:p>
            <w:pPr>
              <w:spacing w:after="20"/>
            </w:pPr>
            <w:r>
              <w:rPr>
                <w:sz w:val="16"/>
              </w:rPr>
              <w:t>Live search and optional fact-check search; publisher, title, URL, dates, excerpt, claim stance, source-specific explanation and retrieval time.</w:t>
            </w:r>
          </w:p>
        </w:tc>
      </w:tr>
      <w:tr>
        <w:trPr>
          <w:cantSplit/>
        </w:trPr>
        <w:tc>
          <w:tcPr>
            <w:tcW w:type="dxa" w:w="2520"/>
            <w:vAlign w:val="center"/>
            <w:shd w:fill="F1F6F8"/>
          </w:tcPr>
          <w:p>
            <w:pPr>
              <w:spacing w:after="20"/>
            </w:pPr>
            <w:r>
              <w:rPr>
                <w:sz w:val="16"/>
              </w:rPr>
              <w:t>Grounded conclusions</w:t>
            </w:r>
          </w:p>
        </w:tc>
        <w:tc>
          <w:tcPr>
            <w:tcW w:type="dxa" w:w="7344"/>
            <w:vAlign w:val="center"/>
            <w:shd w:fill="F1F6F8"/>
          </w:tcPr>
          <w:p>
            <w:pPr>
              <w:spacing w:after="20"/>
            </w:pPr>
            <w:r>
              <w:rPr>
                <w:sz w:val="16"/>
              </w:rPr>
              <w:t>Verified / false / partially true / outdated / misleading context / unconfirmed per claim; explicit limits and no invented citations.</w:t>
            </w:r>
          </w:p>
        </w:tc>
      </w:tr>
      <w:tr>
        <w:trPr>
          <w:cantSplit/>
        </w:trPr>
        <w:tc>
          <w:tcPr>
            <w:tcW w:type="dxa" w:w="2520"/>
            <w:vAlign w:val="center"/>
          </w:tcPr>
          <w:p>
            <w:pPr>
              <w:spacing w:after="20"/>
            </w:pPr>
            <w:r>
              <w:rPr>
                <w:sz w:val="16"/>
              </w:rPr>
              <w:t>Accessible language</w:t>
            </w:r>
          </w:p>
        </w:tc>
        <w:tc>
          <w:tcPr>
            <w:tcW w:type="dxa" w:w="7344"/>
            <w:vAlign w:val="center"/>
          </w:tcPr>
          <w:p>
            <w:pPr>
              <w:spacing w:after="20"/>
            </w:pPr>
            <w:r>
              <w:rPr>
                <w:sz w:val="16"/>
              </w:rPr>
              <w:t>English/Hindi/Marathi concise responses; /api/explain preserving underlying verdicts and evidence.</w:t>
            </w:r>
          </w:p>
        </w:tc>
      </w:tr>
      <w:tr>
        <w:trPr>
          <w:cantSplit/>
        </w:trPr>
        <w:tc>
          <w:tcPr>
            <w:tcW w:type="dxa" w:w="2520"/>
            <w:vAlign w:val="center"/>
            <w:shd w:fill="F1F6F8"/>
          </w:tcPr>
          <w:p>
            <w:pPr>
              <w:spacing w:after="20"/>
            </w:pPr>
            <w:r>
              <w:rPr>
                <w:sz w:val="16"/>
              </w:rPr>
              <w:t>Secondary AI features</w:t>
            </w:r>
          </w:p>
        </w:tc>
        <w:tc>
          <w:tcPr>
            <w:tcW w:type="dxa" w:w="7344"/>
            <w:vAlign w:val="center"/>
            <w:shd w:fill="F1F6F8"/>
          </w:tcPr>
          <w:p>
            <w:pPr>
              <w:spacing w:after="20"/>
            </w:pPr>
            <w:r>
              <w:rPr>
                <w:sz w:val="16"/>
              </w:rPr>
              <w:t>Dated-news detection, scam/scheme warnings, best-effort context finder, explainable forwarding-risk indicators (only after core).</w:t>
            </w:r>
          </w:p>
        </w:tc>
      </w:tr>
      <w:tr>
        <w:trPr>
          <w:cantSplit/>
        </w:trPr>
        <w:tc>
          <w:tcPr>
            <w:tcW w:type="dxa" w:w="2520"/>
            <w:vAlign w:val="center"/>
          </w:tcPr>
          <w:p>
            <w:pPr>
              <w:spacing w:after="20"/>
            </w:pPr>
            <w:r>
              <w:rPr>
                <w:sz w:val="16"/>
              </w:rPr>
              <w:t>Optional WhatsApp code</w:t>
            </w:r>
          </w:p>
        </w:tc>
        <w:tc>
          <w:tcPr>
            <w:tcW w:type="dxa" w:w="7344"/>
            <w:vAlign w:val="center"/>
          </w:tcPr>
          <w:p>
            <w:pPr>
              <w:spacing w:after="20"/>
            </w:pPr>
            <w:r>
              <w:rPr>
                <w:sz w:val="16"/>
              </w:rPr>
              <w:t>Signed Meta webhook verification, inbound events, media IDs, replies, deduplication and integration instructions.</w:t>
            </w:r>
          </w:p>
        </w:tc>
      </w:tr>
      <w:tr>
        <w:trPr>
          <w:cantSplit/>
        </w:trPr>
        <w:tc>
          <w:tcPr>
            <w:tcW w:type="dxa" w:w="2520"/>
            <w:vAlign w:val="center"/>
            <w:shd w:fill="F1F6F8"/>
          </w:tcPr>
          <w:p>
            <w:pPr>
              <w:spacing w:after="20"/>
            </w:pPr>
            <w:r>
              <w:rPr>
                <w:sz w:val="16"/>
              </w:rPr>
              <w:t>QA and handoff</w:t>
            </w:r>
          </w:p>
        </w:tc>
        <w:tc>
          <w:tcPr>
            <w:tcW w:type="dxa" w:w="7344"/>
            <w:vAlign w:val="center"/>
            <w:shd w:fill="F1F6F8"/>
          </w:tcPr>
          <w:p>
            <w:pPr>
              <w:spacing w:after="20"/>
            </w:pPr>
            <w:r>
              <w:rPr>
                <w:sz w:val="16"/>
              </w:rPr>
              <w:t>Offline mocked tests, real-provider configuration guide, example requests, 6+ fixtures and versioned API contract.</w:t>
            </w:r>
          </w:p>
        </w:tc>
      </w:tr>
    </w:tbl>
    <w:p>
      <w:pPr>
        <w:spacing w:after="0"/>
      </w:pPr>
    </w:p>
    <w:p>
      <w:pPr>
        <w:pStyle w:val="Heading2"/>
      </w:pPr>
      <w:r>
        <w:t>Person 2 — Frontend / Data / Meta Platform Engineer</w:t>
      </w:r>
    </w:p>
    <w:p>
      <w:r>
        <w:rPr>
          <w:b w:val="0"/>
        </w:rPr>
        <w:t>Objective: make the verification understandable, accessible and shareable; own project storage, interactive views and optional WhatsApp setup.</w:t>
      </w:r>
    </w:p>
    <w:tbl>
      <w:tblPr>
        <w:tblStyle w:val="LightShading-Accent1"/>
        <w:tblW w:type="auto" w:w="0"/>
        <w:jc w:val="center"/>
        <w:tblLayout w:type="autofit"/>
        <w:tblLook w:firstColumn="1" w:firstRow="1" w:lastColumn="0" w:lastRow="0" w:noHBand="0" w:noVBand="1" w:val="04A0"/>
      </w:tblPr>
      <w:tblGrid>
        <w:gridCol w:w="5011"/>
        <w:gridCol w:w="5011"/>
      </w:tblGrid>
      <w:tr>
        <w:trPr>
          <w:cantSplit/>
        </w:trPr>
        <w:tc>
          <w:tcPr>
            <w:tcW w:type="dxa" w:w="2520"/>
            <w:shd w:fill="153852"/>
          </w:tcPr>
          <w:p>
            <w:r>
              <w:rPr>
                <w:b/>
                <w:color w:val="FFFFFF"/>
                <w:sz w:val="16"/>
              </w:rPr>
              <w:t>WORK PACKAGE</w:t>
            </w:r>
          </w:p>
        </w:tc>
        <w:tc>
          <w:tcPr>
            <w:tcW w:type="dxa" w:w="7344"/>
            <w:shd w:fill="153852"/>
          </w:tcPr>
          <w:p>
            <w:r>
              <w:rPr>
                <w:b/>
                <w:color w:val="FFFFFF"/>
                <w:sz w:val="16"/>
              </w:rPr>
              <w:t>PERSON 2 MUST DELIVER</w:t>
            </w:r>
          </w:p>
        </w:tc>
      </w:tr>
      <w:tr>
        <w:trPr>
          <w:cantSplit/>
        </w:trPr>
        <w:tc>
          <w:tcPr>
            <w:tcW w:type="dxa" w:w="2520"/>
            <w:vAlign w:val="center"/>
            <w:shd w:fill="F1F6F8"/>
          </w:tcPr>
          <w:p>
            <w:pPr>
              <w:spacing w:after="20"/>
            </w:pPr>
            <w:r>
              <w:rPr>
                <w:sz w:val="16"/>
              </w:rPr>
              <w:t>Website / accessibility</w:t>
            </w:r>
          </w:p>
        </w:tc>
        <w:tc>
          <w:tcPr>
            <w:tcW w:type="dxa" w:w="7344"/>
            <w:vAlign w:val="center"/>
            <w:shd w:fill="F1F6F8"/>
          </w:tcPr>
          <w:p>
            <w:pPr>
              <w:spacing w:after="20"/>
            </w:pPr>
            <w:r>
              <w:rPr>
                <w:sz w:val="16"/>
              </w:rPr>
              <w:t>Responsive Next.js interface; minimal steps, paste/send/upload entry points, clear progress, readable claim cards, large type and optional speech playback.</w:t>
            </w:r>
          </w:p>
        </w:tc>
      </w:tr>
      <w:tr>
        <w:trPr>
          <w:cantSplit/>
        </w:trPr>
        <w:tc>
          <w:tcPr>
            <w:tcW w:type="dxa" w:w="2520"/>
            <w:vAlign w:val="center"/>
          </w:tcPr>
          <w:p>
            <w:pPr>
              <w:spacing w:after="20"/>
            </w:pPr>
            <w:r>
              <w:rPr>
                <w:sz w:val="16"/>
              </w:rPr>
              <w:t>Evidence presentation</w:t>
            </w:r>
          </w:p>
        </w:tc>
        <w:tc>
          <w:tcPr>
            <w:tcW w:type="dxa" w:w="7344"/>
            <w:vAlign w:val="center"/>
          </w:tcPr>
          <w:p>
            <w:pPr>
              <w:spacing w:after="20"/>
            </w:pPr>
            <w:r>
              <w:rPr>
                <w:sz w:val="16"/>
              </w:rPr>
              <w:t>Separate card per claim with source-specific “what this source says” display, direct source links, dates, contradictions, uncertainty and next steps.</w:t>
            </w:r>
          </w:p>
        </w:tc>
      </w:tr>
      <w:tr>
        <w:trPr>
          <w:cantSplit/>
        </w:trPr>
        <w:tc>
          <w:tcPr>
            <w:tcW w:type="dxa" w:w="2520"/>
            <w:vAlign w:val="center"/>
            <w:shd w:fill="F1F6F8"/>
          </w:tcPr>
          <w:p>
            <w:pPr>
              <w:spacing w:after="20"/>
            </w:pPr>
            <w:r>
              <w:rPr>
                <w:sz w:val="16"/>
              </w:rPr>
              <w:t>Localization controls</w:t>
            </w:r>
          </w:p>
        </w:tc>
        <w:tc>
          <w:tcPr>
            <w:tcW w:type="dxa" w:w="7344"/>
            <w:vAlign w:val="center"/>
            <w:shd w:fill="F1F6F8"/>
          </w:tcPr>
          <w:p>
            <w:pPr>
              <w:spacing w:after="20"/>
            </w:pPr>
            <w:r>
              <w:rPr>
                <w:sz w:val="16"/>
              </w:rPr>
              <w:t>English/Hindi/Marathi language selection, easy-reading/audience controls; display only, never override claim verdict.</w:t>
            </w:r>
          </w:p>
        </w:tc>
      </w:tr>
      <w:tr>
        <w:trPr>
          <w:cantSplit/>
        </w:trPr>
        <w:tc>
          <w:tcPr>
            <w:tcW w:type="dxa" w:w="2520"/>
            <w:vAlign w:val="center"/>
          </w:tcPr>
          <w:p>
            <w:pPr>
              <w:spacing w:after="20"/>
            </w:pPr>
            <w:r>
              <w:rPr>
                <w:sz w:val="16"/>
              </w:rPr>
              <w:t>Supabase / history</w:t>
            </w:r>
          </w:p>
        </w:tc>
        <w:tc>
          <w:tcPr>
            <w:tcW w:type="dxa" w:w="7344"/>
            <w:vAlign w:val="center"/>
          </w:tcPr>
          <w:p>
            <w:pPr>
              <w:spacing w:after="20"/>
            </w:pPr>
            <w:r>
              <w:rPr>
                <w:sz w:val="16"/>
              </w:rPr>
              <w:t>Schema, consent-aware persistence, access controls, data retention and history; shared API consumption.</w:t>
            </w:r>
          </w:p>
        </w:tc>
      </w:tr>
      <w:tr>
        <w:trPr>
          <w:cantSplit/>
        </w:trPr>
        <w:tc>
          <w:tcPr>
            <w:tcW w:type="dxa" w:w="2520"/>
            <w:vAlign w:val="center"/>
            <w:shd w:fill="F1F6F8"/>
          </w:tcPr>
          <w:p>
            <w:pPr>
              <w:spacing w:after="20"/>
            </w:pPr>
            <w:r>
              <w:rPr>
                <w:sz w:val="16"/>
              </w:rPr>
              <w:t>Extra differentiators</w:t>
            </w:r>
          </w:p>
        </w:tc>
        <w:tc>
          <w:tcPr>
            <w:tcW w:type="dxa" w:w="7344"/>
            <w:vAlign w:val="center"/>
            <w:shd w:fill="F1F6F8"/>
          </w:tcPr>
          <w:p>
            <w:pPr>
              <w:spacing w:after="20"/>
            </w:pPr>
            <w:r>
              <w:rPr>
                <w:sz w:val="16"/>
              </w:rPr>
              <w:t>Truth cards, similar-forward clustering, evolution tracker and aggregated misinformation radar AFTER core demo.</w:t>
            </w:r>
          </w:p>
        </w:tc>
      </w:tr>
      <w:tr>
        <w:trPr>
          <w:cantSplit/>
        </w:trPr>
        <w:tc>
          <w:tcPr>
            <w:tcW w:type="dxa" w:w="2520"/>
            <w:vAlign w:val="center"/>
          </w:tcPr>
          <w:p>
            <w:pPr>
              <w:spacing w:after="20"/>
            </w:pPr>
            <w:r>
              <w:rPr>
                <w:sz w:val="16"/>
              </w:rPr>
              <w:t>Meta / release</w:t>
            </w:r>
          </w:p>
        </w:tc>
        <w:tc>
          <w:tcPr>
            <w:tcW w:type="dxa" w:w="7344"/>
            <w:vAlign w:val="center"/>
          </w:tcPr>
          <w:p>
            <w:pPr>
              <w:spacing w:after="20"/>
            </w:pPr>
            <w:r>
              <w:rPr>
                <w:sz w:val="16"/>
              </w:rPr>
              <w:t>Create developer/business/WABA test assets; set tokens/phone ID and webhook subscriptions, HTTPS deployments, QR/link and demos.</w:t>
            </w:r>
          </w:p>
        </w:tc>
      </w:tr>
    </w:tbl>
    <w:p>
      <w:pPr>
        <w:spacing w:after="0"/>
      </w:pPr>
    </w:p>
    <w:p>
      <w:r>
        <w:br w:type="page"/>
      </w:r>
    </w:p>
    <w:p>
      <w:pPr>
        <w:pStyle w:val="SmallNote"/>
      </w:pPr>
      <w:r>
        <w:rPr>
          <w:b/>
          <w:color w:val="0D7B80"/>
        </w:rPr>
        <w:t>CONTRACT FIRST</w:t>
      </w:r>
    </w:p>
    <w:p>
      <w:pPr>
        <w:pStyle w:val="Heading1"/>
      </w:pPr>
      <w:r>
        <w:t>03  How the two parts integrate</w:t>
      </w:r>
    </w:p>
    <w:p>
      <w:r>
        <w:rPr>
          <w:b w:val="0"/>
        </w:rPr>
        <w:t>Both developers finalize the HTTP schemas on Day 1. Person 2 builds against representative fixture responses; Person 1 replaces fixture results with live-backed outputs without changing field names or verdict values.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cantSplit/>
        </w:trPr>
        <w:tc>
          <w:tcPr>
            <w:tcW w:type="dxa" w:w="3096"/>
            <w:shd w:fill="153852"/>
          </w:tcPr>
          <w:p>
            <w:r>
              <w:rPr>
                <w:b/>
                <w:color w:val="FFFFFF"/>
                <w:sz w:val="16"/>
              </w:rPr>
              <w:t>API</w:t>
            </w:r>
          </w:p>
        </w:tc>
        <w:tc>
          <w:tcPr>
            <w:tcW w:type="dxa" w:w="1368"/>
            <w:shd w:fill="153852"/>
          </w:tcPr>
          <w:p>
            <w:r>
              <w:rPr>
                <w:b/>
                <w:color w:val="FFFFFF"/>
                <w:sz w:val="16"/>
              </w:rPr>
              <w:t>OWNER</w:t>
            </w:r>
          </w:p>
        </w:tc>
        <w:tc>
          <w:tcPr>
            <w:tcW w:type="dxa" w:w="5400"/>
            <w:shd w:fill="153852"/>
          </w:tcPr>
          <w:p>
            <w:r>
              <w:rPr>
                <w:b/>
                <w:color w:val="FFFFFF"/>
                <w:sz w:val="16"/>
              </w:rPr>
              <w:t>PURPOSE</w:t>
            </w:r>
          </w:p>
        </w:tc>
      </w:tr>
      <w:tr>
        <w:trPr>
          <w:cantSplit/>
        </w:trPr>
        <w:tc>
          <w:tcPr>
            <w:tcW w:type="dxa" w:w="3096"/>
            <w:vAlign w:val="center"/>
            <w:shd w:fill="F1F6F8"/>
          </w:tcPr>
          <w:p>
            <w:pPr>
              <w:spacing w:after="20"/>
            </w:pPr>
            <w:r>
              <w:rPr>
                <w:sz w:val="16"/>
              </w:rPr>
              <w:t>GET /api/health</w:t>
            </w:r>
          </w:p>
        </w:tc>
        <w:tc>
          <w:tcPr>
            <w:tcW w:type="dxa" w:w="1368"/>
            <w:vAlign w:val="center"/>
            <w:shd w:fill="F1F6F8"/>
          </w:tcPr>
          <w:p>
            <w:pPr>
              <w:spacing w:after="20"/>
            </w:pPr>
            <w:r>
              <w:rPr>
                <w:sz w:val="16"/>
              </w:rPr>
              <w:t>P1</w:t>
            </w:r>
          </w:p>
        </w:tc>
        <w:tc>
          <w:tcPr>
            <w:tcW w:type="dxa" w:w="5400"/>
            <w:vAlign w:val="center"/>
            <w:shd w:fill="F1F6F8"/>
          </w:tcPr>
          <w:p>
            <w:pPr>
              <w:spacing w:after="20"/>
            </w:pPr>
            <w:r>
              <w:rPr>
                <w:sz w:val="16"/>
              </w:rPr>
              <w:t>Check health and configured format/provider capabilities.</w:t>
            </w:r>
          </w:p>
        </w:tc>
      </w:tr>
      <w:tr>
        <w:trPr>
          <w:cantSplit/>
        </w:trPr>
        <w:tc>
          <w:tcPr>
            <w:tcW w:type="dxa" w:w="3096"/>
            <w:vAlign w:val="center"/>
          </w:tcPr>
          <w:p>
            <w:pPr>
              <w:spacing w:after="20"/>
            </w:pPr>
            <w:r>
              <w:rPr>
                <w:sz w:val="16"/>
              </w:rPr>
              <w:t>POST /api/extract</w:t>
            </w:r>
          </w:p>
        </w:tc>
        <w:tc>
          <w:tcPr>
            <w:tcW w:type="dxa" w:w="1368"/>
            <w:vAlign w:val="center"/>
          </w:tcPr>
          <w:p>
            <w:pPr>
              <w:spacing w:after="20"/>
            </w:pPr>
            <w:r>
              <w:rPr>
                <w:sz w:val="16"/>
              </w:rPr>
              <w:t>P1</w:t>
            </w:r>
          </w:p>
        </w:tc>
        <w:tc>
          <w:tcPr>
            <w:tcW w:type="dxa" w:w="5400"/>
            <w:vAlign w:val="center"/>
          </w:tcPr>
          <w:p>
            <w:pPr>
              <w:spacing w:after="20"/>
            </w:pPr>
            <w:r>
              <w:rPr>
                <w:sz w:val="16"/>
              </w:rPr>
              <w:t>Multipart screenshot/audio/PDF → normalized text + metadata/warnings.</w:t>
            </w:r>
          </w:p>
        </w:tc>
      </w:tr>
      <w:tr>
        <w:trPr>
          <w:cantSplit/>
        </w:trPr>
        <w:tc>
          <w:tcPr>
            <w:tcW w:type="dxa" w:w="3096"/>
            <w:vAlign w:val="center"/>
            <w:shd w:fill="F1F6F8"/>
          </w:tcPr>
          <w:p>
            <w:pPr>
              <w:spacing w:after="20"/>
            </w:pPr>
            <w:r>
              <w:rPr>
                <w:sz w:val="16"/>
              </w:rPr>
              <w:t>POST /api/extract/url</w:t>
            </w:r>
          </w:p>
        </w:tc>
        <w:tc>
          <w:tcPr>
            <w:tcW w:type="dxa" w:w="1368"/>
            <w:vAlign w:val="center"/>
            <w:shd w:fill="F1F6F8"/>
          </w:tcPr>
          <w:p>
            <w:pPr>
              <w:spacing w:after="20"/>
            </w:pPr>
            <w:r>
              <w:rPr>
                <w:sz w:val="16"/>
              </w:rPr>
              <w:t>P1</w:t>
            </w:r>
          </w:p>
        </w:tc>
        <w:tc>
          <w:tcPr>
            <w:tcW w:type="dxa" w:w="5400"/>
            <w:vAlign w:val="center"/>
            <w:shd w:fill="F1F6F8"/>
          </w:tcPr>
          <w:p>
            <w:pPr>
              <w:spacing w:after="20"/>
            </w:pPr>
            <w:r>
              <w:rPr>
                <w:sz w:val="16"/>
              </w:rPr>
              <w:t>Public article URL → safely extracted text/metadata.</w:t>
            </w:r>
          </w:p>
        </w:tc>
      </w:tr>
      <w:tr>
        <w:trPr>
          <w:cantSplit/>
        </w:trPr>
        <w:tc>
          <w:tcPr>
            <w:tcW w:type="dxa" w:w="3096"/>
            <w:vAlign w:val="center"/>
          </w:tcPr>
          <w:p>
            <w:pPr>
              <w:spacing w:after="20"/>
            </w:pPr>
            <w:r>
              <w:rPr>
                <w:sz w:val="16"/>
              </w:rPr>
              <w:t>POST /api/verify</w:t>
            </w:r>
          </w:p>
        </w:tc>
        <w:tc>
          <w:tcPr>
            <w:tcW w:type="dxa" w:w="1368"/>
            <w:vAlign w:val="center"/>
          </w:tcPr>
          <w:p>
            <w:pPr>
              <w:spacing w:after="20"/>
            </w:pPr>
            <w:r>
              <w:rPr>
                <w:sz w:val="16"/>
              </w:rPr>
              <w:t>P1</w:t>
            </w:r>
          </w:p>
        </w:tc>
        <w:tc>
          <w:tcPr>
            <w:tcW w:type="dxa" w:w="5400"/>
            <w:vAlign w:val="center"/>
          </w:tcPr>
          <w:p>
            <w:pPr>
              <w:spacing w:after="20"/>
            </w:pPr>
            <w:r>
              <w:rPr>
                <w:sz w:val="16"/>
              </w:rPr>
              <w:t>Text → claims, evidence-by-source, verdicts, explanations.</w:t>
            </w:r>
          </w:p>
        </w:tc>
      </w:tr>
      <w:tr>
        <w:trPr>
          <w:cantSplit/>
        </w:trPr>
        <w:tc>
          <w:tcPr>
            <w:tcW w:type="dxa" w:w="3096"/>
            <w:vAlign w:val="center"/>
            <w:shd w:fill="F1F6F8"/>
          </w:tcPr>
          <w:p>
            <w:pPr>
              <w:spacing w:after="20"/>
            </w:pPr>
            <w:r>
              <w:rPr>
                <w:sz w:val="16"/>
              </w:rPr>
              <w:t>POST /api/explain</w:t>
            </w:r>
          </w:p>
        </w:tc>
        <w:tc>
          <w:tcPr>
            <w:tcW w:type="dxa" w:w="1368"/>
            <w:vAlign w:val="center"/>
            <w:shd w:fill="F1F6F8"/>
          </w:tcPr>
          <w:p>
            <w:pPr>
              <w:spacing w:after="20"/>
            </w:pPr>
            <w:r>
              <w:rPr>
                <w:sz w:val="16"/>
              </w:rPr>
              <w:t>P1</w:t>
            </w:r>
          </w:p>
        </w:tc>
        <w:tc>
          <w:tcPr>
            <w:tcW w:type="dxa" w:w="5400"/>
            <w:vAlign w:val="center"/>
            <w:shd w:fill="F1F6F8"/>
          </w:tcPr>
          <w:p>
            <w:pPr>
              <w:spacing w:after="20"/>
            </w:pPr>
            <w:r>
              <w:rPr>
                <w:sz w:val="16"/>
              </w:rPr>
              <w:t>Rephrase prior grounded output for language/audience.</w:t>
            </w:r>
          </w:p>
        </w:tc>
      </w:tr>
      <w:tr>
        <w:trPr>
          <w:cantSplit/>
        </w:trPr>
        <w:tc>
          <w:tcPr>
            <w:tcW w:type="dxa" w:w="3096"/>
            <w:vAlign w:val="center"/>
          </w:tcPr>
          <w:p>
            <w:pPr>
              <w:spacing w:after="20"/>
            </w:pPr>
            <w:r>
              <w:rPr>
                <w:sz w:val="16"/>
              </w:rPr>
              <w:t>GET /api/history</w:t>
            </w:r>
          </w:p>
        </w:tc>
        <w:tc>
          <w:tcPr>
            <w:tcW w:type="dxa" w:w="1368"/>
            <w:vAlign w:val="center"/>
          </w:tcPr>
          <w:p>
            <w:pPr>
              <w:spacing w:after="20"/>
            </w:pPr>
            <w:r>
              <w:rPr>
                <w:sz w:val="16"/>
              </w:rPr>
              <w:t>P2</w:t>
            </w:r>
          </w:p>
        </w:tc>
        <w:tc>
          <w:tcPr>
            <w:tcW w:type="dxa" w:w="5400"/>
            <w:vAlign w:val="center"/>
          </w:tcPr>
          <w:p>
            <w:pPr>
              <w:spacing w:after="20"/>
            </w:pPr>
            <w:r>
              <w:rPr>
                <w:sz w:val="16"/>
              </w:rPr>
              <w:t>Opt-in saved verification records.</w:t>
            </w:r>
          </w:p>
        </w:tc>
      </w:tr>
      <w:tr>
        <w:trPr>
          <w:cantSplit/>
        </w:trPr>
        <w:tc>
          <w:tcPr>
            <w:tcW w:type="dxa" w:w="3096"/>
            <w:vAlign w:val="center"/>
            <w:shd w:fill="F1F6F8"/>
          </w:tcPr>
          <w:p>
            <w:pPr>
              <w:spacing w:after="20"/>
            </w:pPr>
            <w:r>
              <w:rPr>
                <w:sz w:val="16"/>
              </w:rPr>
              <w:t>GET /api/tracker</w:t>
            </w:r>
          </w:p>
        </w:tc>
        <w:tc>
          <w:tcPr>
            <w:tcW w:type="dxa" w:w="1368"/>
            <w:vAlign w:val="center"/>
            <w:shd w:fill="F1F6F8"/>
          </w:tcPr>
          <w:p>
            <w:pPr>
              <w:spacing w:after="20"/>
            </w:pPr>
            <w:r>
              <w:rPr>
                <w:sz w:val="16"/>
              </w:rPr>
              <w:t>P2</w:t>
            </w:r>
          </w:p>
        </w:tc>
        <w:tc>
          <w:tcPr>
            <w:tcW w:type="dxa" w:w="5400"/>
            <w:vAlign w:val="center"/>
            <w:shd w:fill="F1F6F8"/>
          </w:tcPr>
          <w:p>
            <w:pPr>
              <w:spacing w:after="20"/>
            </w:pPr>
            <w:r>
              <w:rPr>
                <w:sz w:val="16"/>
              </w:rPr>
              <w:t>Related claims and observed appearance timeline.</w:t>
            </w:r>
          </w:p>
        </w:tc>
      </w:tr>
      <w:tr>
        <w:trPr>
          <w:cantSplit/>
        </w:trPr>
        <w:tc>
          <w:tcPr>
            <w:tcW w:type="dxa" w:w="3096"/>
            <w:vAlign w:val="center"/>
          </w:tcPr>
          <w:p>
            <w:pPr>
              <w:spacing w:after="20"/>
            </w:pPr>
            <w:r>
              <w:rPr>
                <w:sz w:val="16"/>
              </w:rPr>
              <w:t>GET /api/radar</w:t>
            </w:r>
          </w:p>
        </w:tc>
        <w:tc>
          <w:tcPr>
            <w:tcW w:type="dxa" w:w="1368"/>
            <w:vAlign w:val="center"/>
          </w:tcPr>
          <w:p>
            <w:pPr>
              <w:spacing w:after="20"/>
            </w:pPr>
            <w:r>
              <w:rPr>
                <w:sz w:val="16"/>
              </w:rPr>
              <w:t>P2</w:t>
            </w:r>
          </w:p>
        </w:tc>
        <w:tc>
          <w:tcPr>
            <w:tcW w:type="dxa" w:w="5400"/>
            <w:vAlign w:val="center"/>
          </w:tcPr>
          <w:p>
            <w:pPr>
              <w:spacing w:after="20"/>
            </w:pPr>
            <w:r>
              <w:rPr>
                <w:sz w:val="16"/>
              </w:rPr>
              <w:t>Aggregated consenting claim statistics.</w:t>
            </w:r>
          </w:p>
        </w:tc>
      </w:tr>
      <w:tr>
        <w:trPr>
          <w:cantSplit/>
        </w:trPr>
        <w:tc>
          <w:tcPr>
            <w:tcW w:type="dxa" w:w="3096"/>
            <w:vAlign w:val="center"/>
            <w:shd w:fill="F1F6F8"/>
          </w:tcPr>
          <w:p>
            <w:pPr>
              <w:spacing w:after="20"/>
            </w:pPr>
            <w:r>
              <w:rPr>
                <w:sz w:val="16"/>
              </w:rPr>
              <w:t>GET/POST /webhook/whatsapp</w:t>
            </w:r>
          </w:p>
        </w:tc>
        <w:tc>
          <w:tcPr>
            <w:tcW w:type="dxa" w:w="1368"/>
            <w:vAlign w:val="center"/>
            <w:shd w:fill="F1F6F8"/>
          </w:tcPr>
          <w:p>
            <w:pPr>
              <w:spacing w:after="20"/>
            </w:pPr>
            <w:r>
              <w:rPr>
                <w:sz w:val="16"/>
              </w:rPr>
              <w:t>P1 code / P2 setup</w:t>
            </w:r>
          </w:p>
        </w:tc>
        <w:tc>
          <w:tcPr>
            <w:tcW w:type="dxa" w:w="5400"/>
            <w:vAlign w:val="center"/>
            <w:shd w:fill="F1F6F8"/>
          </w:tcPr>
          <w:p>
            <w:pPr>
              <w:spacing w:after="20"/>
            </w:pPr>
            <w:r>
              <w:rPr>
                <w:sz w:val="16"/>
              </w:rPr>
              <w:t>Optional WhatsApp Cloud API handshake and incoming/outbound messaging.</w:t>
            </w:r>
          </w:p>
        </w:tc>
      </w:tr>
    </w:tbl>
    <w:p>
      <w:pPr>
        <w:spacing w:after="0"/>
      </w:pPr>
    </w:p>
    <w:p>
      <w:pPr>
        <w:pStyle w:val="Heading2"/>
      </w:pPr>
      <w:r>
        <w:t>Shared verification object — minimum fields</w:t>
      </w:r>
    </w:p>
    <w:p>
      <w:r>
        <w:rPr>
          <w:b w:val="0"/>
        </w:rPr>
        <w:t>verification_id • status • input{text, detected_language, input_type} • claims[] • summary • checked_at • warnings[]</w:t>
      </w:r>
    </w:p>
    <w:p>
      <w:r>
        <w:rPr>
          <w:b w:val="0"/>
        </w:rPr>
        <w:t>Each claim: claim_id, claim_text, verdict, explanation, short_summary, evidence[], limitations[], next_step, temporal_context, original_context and optional forwarding risk.</w:t>
      </w:r>
    </w:p>
    <w:p>
      <w:r>
        <w:rPr>
          <w:b w:val="0"/>
        </w:rPr>
        <w:t>EACH evidence item: title, url, publisher, published_at, retrieved_at, source_type, stance = supports | contradicts | context | neutral | unclear, actual excerpt, and what_source_says (attributed paraphrase).</w:t>
      </w:r>
    </w:p>
    <w:p>
      <w:pPr>
        <w:pStyle w:val="Heading2"/>
      </w:pPr>
      <w:r>
        <w:t>End-to-end integration order</w:t>
      </w:r>
    </w:p>
    <w:p>
      <w:pPr>
        <w:pStyle w:val="ListBullet"/>
        <w:spacing w:after="60"/>
        <w:ind w:left="230" w:hanging="115"/>
      </w:pPr>
      <w:r>
        <w:rPr>
          <w:b w:val="0"/>
        </w:rPr>
        <w:t>Website/WhatsApp receives input → passes file or link to the extractor; plain text bypasses extraction.</w:t>
      </w:r>
    </w:p>
    <w:p>
      <w:pPr>
        <w:pStyle w:val="ListBullet"/>
        <w:spacing w:after="60"/>
        <w:ind w:left="230" w:hanging="115"/>
      </w:pPr>
      <w:r>
        <w:rPr>
          <w:b w:val="0"/>
        </w:rPr>
        <w:t>Extracted text is shown for transparency; frontend sends it to /api/verify.</w:t>
      </w:r>
    </w:p>
    <w:p>
      <w:pPr>
        <w:pStyle w:val="ListBullet"/>
        <w:spacing w:after="60"/>
        <w:ind w:left="230" w:hanging="115"/>
      </w:pPr>
      <w:r>
        <w:rPr>
          <w:b w:val="0"/>
        </w:rPr>
        <w:t>Backend extracts 1..N factual claims, retrieves live evidence per claim, produces verdicts and cited explanations.</w:t>
      </w:r>
    </w:p>
    <w:p>
      <w:pPr>
        <w:pStyle w:val="ListBullet"/>
        <w:spacing w:after="60"/>
        <w:ind w:left="230" w:hanging="115"/>
      </w:pPr>
      <w:r>
        <w:rPr>
          <w:b w:val="0"/>
        </w:rPr>
        <w:t>Website renders an evidence ledger per claim, makes language/reading-level rewrite available and optionally stores a consented report.</w:t>
      </w:r>
    </w:p>
    <w:p>
      <w:pPr>
        <w:pStyle w:val="ListBullet"/>
        <w:spacing w:after="60"/>
        <w:ind w:left="230" w:hanging="115"/>
      </w:pPr>
      <w:r>
        <w:rPr>
          <w:b w:val="0"/>
        </w:rPr>
        <w:t>Extra services use stored verified data; optional WhatsApp adapter invokes the SAME core pipeline and sends a short cited reply.</w:t>
      </w:r>
    </w:p>
    <w:p>
      <w:pPr>
        <w:pStyle w:val="Heading2"/>
      </w:pPr>
      <w:r>
        <w:t>Verdict contract</w:t>
      </w:r>
    </w:p>
    <w:p>
      <w:r>
        <w:rPr>
          <w:b/>
        </w:rPr>
        <w:t>verified • false • partially_true • outdated • misleading_context • unconfirmed</w:t>
      </w:r>
    </w:p>
    <w:p>
      <w:r>
        <w:br w:type="page"/>
      </w:r>
    </w:p>
    <w:p>
      <w:pPr>
        <w:pStyle w:val="SmallNote"/>
      </w:pPr>
      <w:r>
        <w:rPr>
          <w:b/>
          <w:color w:val="0D7B80"/>
        </w:rPr>
        <w:t>IMPLEMENTATION PLAN</w:t>
      </w:r>
    </w:p>
    <w:p>
      <w:pPr>
        <w:pStyle w:val="Heading1"/>
      </w:pPr>
      <w:r>
        <w:t>04  Build priority &amp; parallel checkpoints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cantSplit/>
        </w:trPr>
        <w:tc>
          <w:tcPr>
            <w:tcW w:type="dxa" w:w="1728"/>
            <w:shd w:fill="153852"/>
          </w:tcPr>
          <w:p>
            <w:r>
              <w:rPr>
                <w:b/>
                <w:color w:val="FFFFFF"/>
                <w:sz w:val="16"/>
              </w:rPr>
              <w:t>GATE</w:t>
            </w:r>
          </w:p>
        </w:tc>
        <w:tc>
          <w:tcPr>
            <w:tcW w:type="dxa" w:w="4061"/>
            <w:shd w:fill="153852"/>
          </w:tcPr>
          <w:p>
            <w:r>
              <w:rPr>
                <w:b/>
                <w:color w:val="FFFFFF"/>
                <w:sz w:val="16"/>
              </w:rPr>
              <w:t>PERSON 1 (BACKEND / AI)</w:t>
            </w:r>
          </w:p>
        </w:tc>
        <w:tc>
          <w:tcPr>
            <w:tcW w:type="dxa" w:w="4075"/>
            <w:shd w:fill="153852"/>
          </w:tcPr>
          <w:p>
            <w:r>
              <w:rPr>
                <w:b/>
                <w:color w:val="FFFFFF"/>
                <w:sz w:val="16"/>
              </w:rPr>
              <w:t>PERSON 2 (APPLICATION)</w:t>
            </w:r>
          </w:p>
        </w:tc>
      </w:tr>
      <w:tr>
        <w:trPr>
          <w:cantSplit/>
        </w:trPr>
        <w:tc>
          <w:tcPr>
            <w:tcW w:type="dxa" w:w="1728"/>
            <w:vAlign w:val="center"/>
            <w:shd w:fill="F1F6F8"/>
          </w:tcPr>
          <w:p>
            <w:pPr>
              <w:spacing w:after="20"/>
            </w:pPr>
            <w:r>
              <w:rPr>
                <w:sz w:val="16"/>
              </w:rPr>
              <w:t>G0 — shared setup</w:t>
            </w:r>
          </w:p>
        </w:tc>
        <w:tc>
          <w:tcPr>
            <w:tcW w:type="dxa" w:w="4061"/>
            <w:vAlign w:val="center"/>
            <w:shd w:fill="F1F6F8"/>
          </w:tcPr>
          <w:p>
            <w:pPr>
              <w:spacing w:after="20"/>
            </w:pPr>
            <w:r>
              <w:rPr>
                <w:sz w:val="16"/>
              </w:rPr>
              <w:t>Create API schema, /health, extraction/verify endpoints and honest no-provider behavior.</w:t>
            </w:r>
          </w:p>
        </w:tc>
        <w:tc>
          <w:tcPr>
            <w:tcW w:type="dxa" w:w="4075"/>
            <w:vAlign w:val="center"/>
            <w:shd w:fill="F1F6F8"/>
          </w:tcPr>
          <w:p>
            <w:pPr>
              <w:spacing w:after="20"/>
            </w:pPr>
            <w:r>
              <w:rPr>
                <w:sz w:val="16"/>
              </w:rPr>
              <w:t>Initialize UI, API fixtures, Supabase project; create Meta test assets in parallel, not blocking.</w:t>
            </w:r>
          </w:p>
        </w:tc>
      </w:tr>
      <w:tr>
        <w:trPr>
          <w:cantSplit/>
        </w:trPr>
        <w:tc>
          <w:tcPr>
            <w:tcW w:type="dxa" w:w="1728"/>
            <w:vAlign w:val="center"/>
          </w:tcPr>
          <w:p>
            <w:pPr>
              <w:spacing w:after="20"/>
            </w:pPr>
            <w:r>
              <w:rPr>
                <w:sz w:val="16"/>
              </w:rPr>
              <w:t>G1 — core text flow</w:t>
            </w:r>
          </w:p>
        </w:tc>
        <w:tc>
          <w:tcPr>
            <w:tcW w:type="dxa" w:w="4061"/>
            <w:vAlign w:val="center"/>
          </w:tcPr>
          <w:p>
            <w:pPr>
              <w:spacing w:after="20"/>
            </w:pPr>
            <w:r>
              <w:rPr>
                <w:sz w:val="16"/>
              </w:rPr>
              <w:t>Atomic claims → live search → source ledger → grounded result; prove unconfirmed behavior.</w:t>
            </w:r>
          </w:p>
        </w:tc>
        <w:tc>
          <w:tcPr>
            <w:tcW w:type="dxa" w:w="4075"/>
            <w:vAlign w:val="center"/>
          </w:tcPr>
          <w:p>
            <w:pPr>
              <w:spacing w:after="20"/>
            </w:pPr>
            <w:r>
              <w:rPr>
                <w:sz w:val="16"/>
              </w:rPr>
              <w:t>Text form, claim-by-claim verdict cards, source stance/date display, clear failure states.</w:t>
            </w:r>
          </w:p>
        </w:tc>
      </w:tr>
      <w:tr>
        <w:trPr>
          <w:cantSplit/>
        </w:trPr>
        <w:tc>
          <w:tcPr>
            <w:tcW w:type="dxa" w:w="1728"/>
            <w:vAlign w:val="center"/>
            <w:shd w:fill="F1F6F8"/>
          </w:tcPr>
          <w:p>
            <w:pPr>
              <w:spacing w:after="20"/>
            </w:pPr>
            <w:r>
              <w:rPr>
                <w:sz w:val="16"/>
              </w:rPr>
              <w:t>G2 — multimodal</w:t>
            </w:r>
          </w:p>
        </w:tc>
        <w:tc>
          <w:tcPr>
            <w:tcW w:type="dxa" w:w="4061"/>
            <w:vAlign w:val="center"/>
            <w:shd w:fill="F1F6F8"/>
          </w:tcPr>
          <w:p>
            <w:pPr>
              <w:spacing w:after="20"/>
            </w:pPr>
            <w:r>
              <w:rPr>
                <w:sz w:val="16"/>
              </w:rPr>
              <w:t>Image OCR, PDF including scanned fallback, voice transcription, safe URL extraction.</w:t>
            </w:r>
          </w:p>
        </w:tc>
        <w:tc>
          <w:tcPr>
            <w:tcW w:type="dxa" w:w="4075"/>
            <w:vAlign w:val="center"/>
            <w:shd w:fill="F1F6F8"/>
          </w:tcPr>
          <w:p>
            <w:pPr>
              <w:spacing w:after="20"/>
            </w:pPr>
            <w:r>
              <w:rPr>
                <w:sz w:val="16"/>
              </w:rPr>
              <w:t>File/link inputs; progress, previews, readable extracted text and clear error messages.</w:t>
            </w:r>
          </w:p>
        </w:tc>
      </w:tr>
      <w:tr>
        <w:trPr>
          <w:cantSplit/>
        </w:trPr>
        <w:tc>
          <w:tcPr>
            <w:tcW w:type="dxa" w:w="1728"/>
            <w:vAlign w:val="center"/>
          </w:tcPr>
          <w:p>
            <w:pPr>
              <w:spacing w:after="20"/>
            </w:pPr>
            <w:r>
              <w:rPr>
                <w:sz w:val="16"/>
              </w:rPr>
              <w:t>G3 — accessible result</w:t>
            </w:r>
          </w:p>
        </w:tc>
        <w:tc>
          <w:tcPr>
            <w:tcW w:type="dxa" w:w="4061"/>
            <w:vAlign w:val="center"/>
          </w:tcPr>
          <w:p>
            <w:pPr>
              <w:spacing w:after="20"/>
            </w:pPr>
            <w:r>
              <w:rPr>
                <w:sz w:val="16"/>
              </w:rPr>
              <w:t>English/Hindi/Marathi concise explanations + invariant /explain output.</w:t>
            </w:r>
          </w:p>
        </w:tc>
        <w:tc>
          <w:tcPr>
            <w:tcW w:type="dxa" w:w="4075"/>
            <w:vAlign w:val="center"/>
          </w:tcPr>
          <w:p>
            <w:pPr>
              <w:spacing w:after="20"/>
            </w:pPr>
            <w:r>
              <w:rPr>
                <w:sz w:val="16"/>
              </w:rPr>
              <w:t>Local-language display, senior-friendly layouts, optional audio playback.</w:t>
            </w:r>
          </w:p>
        </w:tc>
      </w:tr>
      <w:tr>
        <w:trPr>
          <w:cantSplit/>
        </w:trPr>
        <w:tc>
          <w:tcPr>
            <w:tcW w:type="dxa" w:w="1728"/>
            <w:vAlign w:val="center"/>
            <w:shd w:fill="F1F6F8"/>
          </w:tcPr>
          <w:p>
            <w:pPr>
              <w:spacing w:after="20"/>
            </w:pPr>
            <w:r>
              <w:rPr>
                <w:sz w:val="16"/>
              </w:rPr>
              <w:t>G4 — quality demo</w:t>
            </w:r>
          </w:p>
        </w:tc>
        <w:tc>
          <w:tcPr>
            <w:tcW w:type="dxa" w:w="4061"/>
            <w:vAlign w:val="center"/>
            <w:shd w:fill="F1F6F8"/>
          </w:tcPr>
          <w:p>
            <w:pPr>
              <w:spacing w:after="20"/>
            </w:pPr>
            <w:r>
              <w:rPr>
                <w:sz w:val="16"/>
              </w:rPr>
              <w:t>Test multi-claim forwards, contradictory evidence, source links/dates and each input modality.</w:t>
            </w:r>
          </w:p>
        </w:tc>
        <w:tc>
          <w:tcPr>
            <w:tcW w:type="dxa" w:w="4075"/>
            <w:vAlign w:val="center"/>
            <w:shd w:fill="F1F6F8"/>
          </w:tcPr>
          <w:p>
            <w:pPr>
              <w:spacing w:after="20"/>
            </w:pPr>
            <w:r>
              <w:rPr>
                <w:sz w:val="16"/>
              </w:rPr>
              <w:t>Full demo route, sources shown to judges, accessibility polish, deployment and QA.</w:t>
            </w:r>
          </w:p>
        </w:tc>
      </w:tr>
      <w:tr>
        <w:trPr>
          <w:cantSplit/>
        </w:trPr>
        <w:tc>
          <w:tcPr>
            <w:tcW w:type="dxa" w:w="1728"/>
            <w:vAlign w:val="center"/>
          </w:tcPr>
          <w:p>
            <w:pPr>
              <w:spacing w:after="20"/>
            </w:pPr>
            <w:r>
              <w:rPr>
                <w:sz w:val="16"/>
              </w:rPr>
              <w:t>G5 — extensions</w:t>
            </w:r>
          </w:p>
        </w:tc>
        <w:tc>
          <w:tcPr>
            <w:tcW w:type="dxa" w:w="4061"/>
            <w:vAlign w:val="center"/>
          </w:tcPr>
          <w:p>
            <w:pPr>
              <w:spacing w:after="20"/>
            </w:pPr>
            <w:r>
              <w:rPr>
                <w:sz w:val="16"/>
              </w:rPr>
              <w:t>Only now: old-context, scam/scheme/risk, optional WhatsApp webhook.</w:t>
            </w:r>
          </w:p>
        </w:tc>
        <w:tc>
          <w:tcPr>
            <w:tcW w:type="dxa" w:w="4075"/>
            <w:vAlign w:val="center"/>
          </w:tcPr>
          <w:p>
            <w:pPr>
              <w:spacing w:after="20"/>
            </w:pPr>
            <w:r>
              <w:rPr>
                <w:sz w:val="16"/>
              </w:rPr>
              <w:t>Only now: truth card, tracker/radar, optional WhatsApp setup and QR demo.</w:t>
            </w:r>
          </w:p>
        </w:tc>
      </w:tr>
    </w:tbl>
    <w:p>
      <w:pPr>
        <w:spacing w:after="0"/>
      </w:pPr>
    </w:p>
    <w:p>
      <w:pPr>
        <w:pStyle w:val="Heading2"/>
      </w:pPr>
      <w:r>
        <w:t>Daily developer handoff</w:t>
      </w:r>
    </w:p>
    <w:p>
      <w:pPr>
        <w:pStyle w:val="ListBullet"/>
        <w:spacing w:after="60"/>
        <w:ind w:left="230" w:hanging="115"/>
      </w:pPr>
      <w:r>
        <w:rPr>
          <w:b w:val="0"/>
        </w:rPr>
        <w:t>Use a shared repository with separate backend/frontend branches; open pull requests and agree before changing JSON keys or verdict enum.</w:t>
      </w:r>
    </w:p>
    <w:p>
      <w:pPr>
        <w:pStyle w:val="ListBullet"/>
        <w:spacing w:after="60"/>
        <w:ind w:left="230" w:hanging="115"/>
      </w:pPr>
      <w:r>
        <w:rPr>
          <w:b w:val="0"/>
        </w:rPr>
        <w:t>At the end of each day run a 15-minute integration using two different claims and at least one file modality.</w:t>
      </w:r>
    </w:p>
    <w:p>
      <w:pPr>
        <w:pStyle w:val="ListBullet"/>
        <w:spacing w:after="60"/>
        <w:ind w:left="230" w:hanging="115"/>
      </w:pPr>
      <w:r>
        <w:rPr>
          <w:b w:val="0"/>
        </w:rPr>
        <w:t>Keep a fixed set of representative fixture outputs for Person 2 while live search/LLM credentials are being configured.</w:t>
      </w:r>
    </w:p>
    <w:p>
      <w:pPr>
        <w:pStyle w:val="ListBullet"/>
        <w:spacing w:after="60"/>
        <w:ind w:left="230" w:hanging="115"/>
      </w:pPr>
      <w:r>
        <w:rPr>
          <w:b w:val="0"/>
        </w:rPr>
        <w:t>Document external dependencies, costs, quotas and system packages (including OCR/audio tooling) rather than assuming every machine has them.</w:t>
      </w:r>
    </w:p>
    <w:p>
      <w:pPr>
        <w:pStyle w:val="Heading2"/>
      </w:pPr>
      <w:r>
        <w:t>High-priority demo cases</w:t>
      </w:r>
    </w:p>
    <w:tbl>
      <w:tblPr>
        <w:tblStyle w:val="LightShading-Accent1"/>
        <w:tblW w:type="auto" w:w="0"/>
        <w:jc w:val="center"/>
        <w:tblLayout w:type="autofit"/>
        <w:tblLook w:firstColumn="1" w:firstRow="1" w:lastColumn="0" w:lastRow="0" w:noHBand="0" w:noVBand="1" w:val="04A0"/>
      </w:tblPr>
      <w:tblGrid>
        <w:gridCol w:w="5011"/>
        <w:gridCol w:w="5011"/>
      </w:tblGrid>
      <w:tr>
        <w:trPr>
          <w:cantSplit/>
        </w:trPr>
        <w:tc>
          <w:tcPr>
            <w:tcW w:type="dxa" w:w="2563"/>
            <w:shd w:fill="153852"/>
          </w:tcPr>
          <w:p>
            <w:r>
              <w:rPr>
                <w:b/>
                <w:color w:val="FFFFFF"/>
                <w:sz w:val="16"/>
              </w:rPr>
              <w:t>CASE</w:t>
            </w:r>
          </w:p>
        </w:tc>
        <w:tc>
          <w:tcPr>
            <w:tcW w:type="dxa" w:w="7301"/>
            <w:shd w:fill="153852"/>
          </w:tcPr>
          <w:p>
            <w:r>
              <w:rPr>
                <w:b/>
                <w:color w:val="FFFFFF"/>
                <w:sz w:val="16"/>
              </w:rPr>
              <w:t>WHAT THE JUDGES SHOULD SEE</w:t>
            </w:r>
          </w:p>
        </w:tc>
      </w:tr>
      <w:tr>
        <w:trPr>
          <w:cantSplit/>
        </w:trPr>
        <w:tc>
          <w:tcPr>
            <w:tcW w:type="dxa" w:w="2563"/>
            <w:vAlign w:val="center"/>
            <w:shd w:fill="F1F6F8"/>
          </w:tcPr>
          <w:p>
            <w:pPr>
              <w:spacing w:after="20"/>
            </w:pPr>
            <w:r>
              <w:rPr>
                <w:sz w:val="16"/>
              </w:rPr>
              <w:t>A long WhatsApp forward</w:t>
            </w:r>
          </w:p>
        </w:tc>
        <w:tc>
          <w:tcPr>
            <w:tcW w:type="dxa" w:w="7301"/>
            <w:vAlign w:val="center"/>
            <w:shd w:fill="F1F6F8"/>
          </w:tcPr>
          <w:p>
            <w:pPr>
              <w:spacing w:after="20"/>
            </w:pPr>
            <w:r>
              <w:rPr>
                <w:sz w:val="16"/>
              </w:rPr>
              <w:t>At least two different claims with individually traceable evidence and results.</w:t>
            </w:r>
          </w:p>
        </w:tc>
      </w:tr>
      <w:tr>
        <w:trPr>
          <w:cantSplit/>
        </w:trPr>
        <w:tc>
          <w:tcPr>
            <w:tcW w:type="dxa" w:w="2563"/>
            <w:vAlign w:val="center"/>
          </w:tcPr>
          <w:p>
            <w:pPr>
              <w:spacing w:after="20"/>
            </w:pPr>
            <w:r>
              <w:rPr>
                <w:sz w:val="16"/>
              </w:rPr>
              <w:t>A screenshot</w:t>
            </w:r>
          </w:p>
        </w:tc>
        <w:tc>
          <w:tcPr>
            <w:tcW w:type="dxa" w:w="7301"/>
            <w:vAlign w:val="center"/>
          </w:tcPr>
          <w:p>
            <w:pPr>
              <w:spacing w:after="20"/>
            </w:pPr>
            <w:r>
              <w:rPr>
                <w:sz w:val="16"/>
              </w:rPr>
              <w:t>Visible OCR text; the same claim and evidence pipeline as pasted text.</w:t>
            </w:r>
          </w:p>
        </w:tc>
      </w:tr>
      <w:tr>
        <w:trPr>
          <w:cantSplit/>
        </w:trPr>
        <w:tc>
          <w:tcPr>
            <w:tcW w:type="dxa" w:w="2563"/>
            <w:vAlign w:val="center"/>
            <w:shd w:fill="F1F6F8"/>
          </w:tcPr>
          <w:p>
            <w:pPr>
              <w:spacing w:after="20"/>
            </w:pPr>
            <w:r>
              <w:rPr>
                <w:sz w:val="16"/>
              </w:rPr>
              <w:t>An audio voice note</w:t>
            </w:r>
          </w:p>
        </w:tc>
        <w:tc>
          <w:tcPr>
            <w:tcW w:type="dxa" w:w="7301"/>
            <w:vAlign w:val="center"/>
            <w:shd w:fill="F1F6F8"/>
          </w:tcPr>
          <w:p>
            <w:pPr>
              <w:spacing w:after="20"/>
            </w:pPr>
            <w:r>
              <w:rPr>
                <w:sz w:val="16"/>
              </w:rPr>
              <w:t>Real transcript, independently extracted claim(s), regional-language explanation.</w:t>
            </w:r>
          </w:p>
        </w:tc>
      </w:tr>
      <w:tr>
        <w:trPr>
          <w:cantSplit/>
        </w:trPr>
        <w:tc>
          <w:tcPr>
            <w:tcW w:type="dxa" w:w="2563"/>
            <w:vAlign w:val="center"/>
          </w:tcPr>
          <w:p>
            <w:pPr>
              <w:spacing w:after="20"/>
            </w:pPr>
            <w:r>
              <w:rPr>
                <w:sz w:val="16"/>
              </w:rPr>
              <w:t>A PDF notice</w:t>
            </w:r>
          </w:p>
        </w:tc>
        <w:tc>
          <w:tcPr>
            <w:tcW w:type="dxa" w:w="7301"/>
            <w:vAlign w:val="center"/>
          </w:tcPr>
          <w:p>
            <w:pPr>
              <w:spacing w:after="20"/>
            </w:pPr>
            <w:r>
              <w:rPr>
                <w:sz w:val="16"/>
              </w:rPr>
              <w:t>Text/scan extraction with page context, claims and cited evidence.</w:t>
            </w:r>
          </w:p>
        </w:tc>
      </w:tr>
      <w:tr>
        <w:trPr>
          <w:cantSplit/>
        </w:trPr>
        <w:tc>
          <w:tcPr>
            <w:tcW w:type="dxa" w:w="2563"/>
            <w:vAlign w:val="center"/>
            <w:shd w:fill="F1F6F8"/>
          </w:tcPr>
          <w:p>
            <w:pPr>
              <w:spacing w:after="20"/>
            </w:pPr>
            <w:r>
              <w:rPr>
                <w:sz w:val="16"/>
              </w:rPr>
              <w:t>A news/article URL</w:t>
            </w:r>
          </w:p>
        </w:tc>
        <w:tc>
          <w:tcPr>
            <w:tcW w:type="dxa" w:w="7301"/>
            <w:vAlign w:val="center"/>
            <w:shd w:fill="F1F6F8"/>
          </w:tcPr>
          <w:p>
            <w:pPr>
              <w:spacing w:after="20"/>
            </w:pPr>
            <w:r>
              <w:rPr>
                <w:sz w:val="16"/>
              </w:rPr>
              <w:t>Fetched article content and source metadata, then checkable claims.</w:t>
            </w:r>
          </w:p>
        </w:tc>
      </w:tr>
      <w:tr>
        <w:trPr>
          <w:cantSplit/>
        </w:trPr>
        <w:tc>
          <w:tcPr>
            <w:tcW w:type="dxa" w:w="2563"/>
            <w:vAlign w:val="center"/>
          </w:tcPr>
          <w:p>
            <w:pPr>
              <w:spacing w:after="20"/>
            </w:pPr>
            <w:r>
              <w:rPr>
                <w:sz w:val="16"/>
              </w:rPr>
              <w:t>Example ₹500 currency forward</w:t>
            </w:r>
          </w:p>
        </w:tc>
        <w:tc>
          <w:tcPr>
            <w:tcW w:type="dxa" w:w="7301"/>
            <w:vAlign w:val="center"/>
          </w:tcPr>
          <w:p>
            <w:pPr>
              <w:spacing w:after="20"/>
            </w:pPr>
            <w:r>
              <w:rPr>
                <w:sz w:val="16"/>
              </w:rPr>
              <w:t>Check against actual RBI sources; show true/false/missing evidence with dates, NEVER a scripted verdict.</w:t>
            </w:r>
          </w:p>
        </w:tc>
      </w:tr>
    </w:tbl>
    <w:p>
      <w:pPr>
        <w:spacing w:after="0"/>
      </w:pPr>
    </w:p>
    <w:p>
      <w:r>
        <w:br w:type="page"/>
      </w:r>
    </w:p>
    <w:p>
      <w:pPr>
        <w:pStyle w:val="SmallNote"/>
      </w:pPr>
      <w:r>
        <w:rPr>
          <w:b/>
          <w:color w:val="0D7B80"/>
        </w:rPr>
        <w:t>DEMO &amp; GOVERNANCE</w:t>
      </w:r>
    </w:p>
    <w:p>
      <w:pPr>
        <w:pStyle w:val="Heading1"/>
      </w:pPr>
      <w:r>
        <w:t>05  Acceptance tests and project boundaries</w:t>
      </w:r>
    </w:p>
    <w:p>
      <w:pPr>
        <w:pStyle w:val="Heading2"/>
      </w:pPr>
      <w:r>
        <w:t>Required pass criteria</w:t>
      </w:r>
    </w:p>
    <w:p>
      <w:pPr>
        <w:pStyle w:val="ListBullet"/>
        <w:spacing w:after="60"/>
        <w:ind w:left="230" w:hanging="115"/>
      </w:pPr>
      <w:r>
        <w:rPr>
          <w:b w:val="0"/>
        </w:rPr>
        <w:t>Input modalities actually work with representative real files: text, screenshot, voice note, PDF and public article URL.</w:t>
      </w:r>
    </w:p>
    <w:p>
      <w:pPr>
        <w:pStyle w:val="ListBullet"/>
        <w:spacing w:after="60"/>
        <w:ind w:left="230" w:hanging="115"/>
      </w:pPr>
      <w:r>
        <w:rPr>
          <w:b w:val="0"/>
        </w:rPr>
        <w:t>A long message visibly produces separate checkable claims; each claim has an independently justified verdict.</w:t>
      </w:r>
    </w:p>
    <w:p>
      <w:pPr>
        <w:pStyle w:val="ListBullet"/>
        <w:spacing w:after="60"/>
        <w:ind w:left="230" w:hanging="115"/>
      </w:pPr>
      <w:r>
        <w:rPr>
          <w:b w:val="0"/>
        </w:rPr>
        <w:t>For each claim, users can inspect WHO said WHAT, WHEN it was said, a real link, and whether evidence supports/contradicts it.</w:t>
      </w:r>
    </w:p>
    <w:p>
      <w:pPr>
        <w:pStyle w:val="ListBullet"/>
        <w:spacing w:after="60"/>
        <w:ind w:left="230" w:hanging="115"/>
      </w:pPr>
      <w:r>
        <w:rPr>
          <w:b w:val="0"/>
        </w:rPr>
        <w:t>Insufficient results, stale pages and conflicting evidence trigger cautious, explicit uncertainty—not automatic “false”.</w:t>
      </w:r>
    </w:p>
    <w:p>
      <w:pPr>
        <w:pStyle w:val="ListBullet"/>
        <w:spacing w:after="60"/>
        <w:ind w:left="230" w:hanging="115"/>
      </w:pPr>
      <w:r>
        <w:rPr>
          <w:b w:val="0"/>
        </w:rPr>
        <w:t>The same verification can be explained in English, Hindi or Marathi using easy words without changing facts, verdicts or citations.</w:t>
      </w:r>
    </w:p>
    <w:p>
      <w:pPr>
        <w:pStyle w:val="ListBullet"/>
        <w:spacing w:after="60"/>
        <w:ind w:left="230" w:hanging="115"/>
      </w:pPr>
      <w:r>
        <w:rPr>
          <w:b w:val="0"/>
        </w:rPr>
        <w:t>The live demo shows the full flow from at least 3 input types, with the remaining formats available in a documented test suite; ideally demonstrate all five.</w:t>
      </w:r>
    </w:p>
    <w:p>
      <w:pPr>
        <w:pStyle w:val="ListBullet"/>
        <w:spacing w:after="60"/>
        <w:ind w:left="230" w:hanging="115"/>
      </w:pPr>
      <w:r>
        <w:rPr>
          <w:b w:val="0"/>
        </w:rPr>
        <w:t>The UI remains understandable without a long tutorial, specialist terminology or a WhatsApp Business account.</w:t>
      </w:r>
    </w:p>
    <w:p>
      <w:pPr>
        <w:pStyle w:val="Heading2"/>
      </w:pPr>
      <w:r>
        <w:t>Optional extras — not grounds to delay the official deliverable</w:t>
      </w:r>
    </w:p>
    <w:tbl>
      <w:tblPr>
        <w:tblStyle w:val="LightShading-Accent1"/>
        <w:tblW w:type="auto" w:w="0"/>
        <w:jc w:val="center"/>
        <w:tblLayout w:type="autofit"/>
        <w:tblLook w:firstColumn="1" w:firstRow="1" w:lastColumn="0" w:lastRow="0" w:noHBand="0" w:noVBand="1" w:val="04A0"/>
      </w:tblPr>
      <w:tblGrid>
        <w:gridCol w:w="5011"/>
        <w:gridCol w:w="5011"/>
      </w:tblGrid>
      <w:tr>
        <w:trPr>
          <w:cantSplit/>
        </w:trPr>
        <w:tc>
          <w:tcPr>
            <w:tcW w:type="dxa" w:w="7704"/>
            <w:shd w:fill="153852"/>
          </w:tcPr>
          <w:p>
            <w:r>
              <w:rPr>
                <w:b/>
                <w:color w:val="FFFFFF"/>
                <w:sz w:val="16"/>
              </w:rPr>
              <w:t>ADD ONLY AFTER CORE IS DEMO-READY</w:t>
            </w:r>
          </w:p>
        </w:tc>
        <w:tc>
          <w:tcPr>
            <w:tcW w:type="dxa" w:w="2160"/>
            <w:shd w:fill="153852"/>
          </w:tcPr>
          <w:p>
            <w:r>
              <w:rPr>
                <w:b/>
                <w:color w:val="FFFFFF"/>
                <w:sz w:val="16"/>
              </w:rPr>
              <w:t>OWNER</w:t>
            </w:r>
          </w:p>
        </w:tc>
      </w:tr>
      <w:tr>
        <w:trPr>
          <w:cantSplit/>
        </w:trPr>
        <w:tc>
          <w:tcPr>
            <w:tcW w:type="dxa" w:w="7704"/>
            <w:vAlign w:val="center"/>
            <w:shd w:fill="F1F6F8"/>
          </w:tcPr>
          <w:p>
            <w:pPr>
              <w:spacing w:after="20"/>
            </w:pPr>
            <w:r>
              <w:rPr>
                <w:sz w:val="16"/>
              </w:rPr>
              <w:t>Outdated-news &amp; expired-scheme context; explainable scam/forwarding-risk warning</w:t>
            </w:r>
          </w:p>
        </w:tc>
        <w:tc>
          <w:tcPr>
            <w:tcW w:type="dxa" w:w="2160"/>
            <w:vAlign w:val="center"/>
            <w:shd w:fill="F1F6F8"/>
          </w:tcPr>
          <w:p>
            <w:pPr>
              <w:spacing w:after="20"/>
            </w:pPr>
            <w:r>
              <w:rPr>
                <w:sz w:val="16"/>
              </w:rPr>
              <w:t>Person 1</w:t>
            </w:r>
          </w:p>
        </w:tc>
      </w:tr>
      <w:tr>
        <w:trPr>
          <w:cantSplit/>
        </w:trPr>
        <w:tc>
          <w:tcPr>
            <w:tcW w:type="dxa" w:w="7704"/>
            <w:vAlign w:val="center"/>
          </w:tcPr>
          <w:p>
            <w:pPr>
              <w:spacing w:after="20"/>
            </w:pPr>
            <w:r>
              <w:rPr>
                <w:sz w:val="16"/>
              </w:rPr>
              <w:t>Original-context finder (best-effort with attribution, not image forensics)</w:t>
            </w:r>
          </w:p>
        </w:tc>
        <w:tc>
          <w:tcPr>
            <w:tcW w:type="dxa" w:w="2160"/>
            <w:vAlign w:val="center"/>
          </w:tcPr>
          <w:p>
            <w:pPr>
              <w:spacing w:after="20"/>
            </w:pPr>
            <w:r>
              <w:rPr>
                <w:sz w:val="16"/>
              </w:rPr>
              <w:t>Person 1</w:t>
            </w:r>
          </w:p>
        </w:tc>
      </w:tr>
      <w:tr>
        <w:trPr>
          <w:cantSplit/>
        </w:trPr>
        <w:tc>
          <w:tcPr>
            <w:tcW w:type="dxa" w:w="7704"/>
            <w:vAlign w:val="center"/>
            <w:shd w:fill="F1F6F8"/>
          </w:tcPr>
          <w:p>
            <w:pPr>
              <w:spacing w:after="20"/>
            </w:pPr>
            <w:r>
              <w:rPr>
                <w:sz w:val="16"/>
              </w:rPr>
              <w:t>Truth-card image, family UI, claim evolution tracker, community radar</w:t>
            </w:r>
          </w:p>
        </w:tc>
        <w:tc>
          <w:tcPr>
            <w:tcW w:type="dxa" w:w="2160"/>
            <w:vAlign w:val="center"/>
            <w:shd w:fill="F1F6F8"/>
          </w:tcPr>
          <w:p>
            <w:pPr>
              <w:spacing w:after="20"/>
            </w:pPr>
            <w:r>
              <w:rPr>
                <w:sz w:val="16"/>
              </w:rPr>
              <w:t>Person 2</w:t>
            </w:r>
          </w:p>
        </w:tc>
      </w:tr>
      <w:tr>
        <w:trPr>
          <w:cantSplit/>
        </w:trPr>
        <w:tc>
          <w:tcPr>
            <w:tcW w:type="dxa" w:w="7704"/>
            <w:vAlign w:val="center"/>
          </w:tcPr>
          <w:p>
            <w:pPr>
              <w:spacing w:after="20"/>
            </w:pPr>
            <w:r>
              <w:rPr>
                <w:sz w:val="16"/>
              </w:rPr>
              <w:t>Meta test bot, WhatsApp link/QR and webhook-based forwarding workflow</w:t>
            </w:r>
          </w:p>
        </w:tc>
        <w:tc>
          <w:tcPr>
            <w:tcW w:type="dxa" w:w="2160"/>
            <w:vAlign w:val="center"/>
          </w:tcPr>
          <w:p>
            <w:pPr>
              <w:spacing w:after="20"/>
            </w:pPr>
            <w:r>
              <w:rPr>
                <w:sz w:val="16"/>
              </w:rPr>
              <w:t>P1 code + P2 setup</w:t>
            </w:r>
          </w:p>
        </w:tc>
      </w:tr>
    </w:tbl>
    <w:p>
      <w:pPr>
        <w:spacing w:after="0"/>
      </w:pPr>
    </w:p>
    <w:p>
      <w:pPr>
        <w:pStyle w:val="Heading2"/>
      </w:pPr>
      <w:r>
        <w:t>Safety, reality checks and policy</w:t>
      </w:r>
    </w:p>
    <w:p>
      <w:r>
        <w:rPr>
          <w:b w:val="0"/>
        </w:rPr>
        <w:t>Sources must originate from retrieval, never model imagination. An official source failing to appear in a search is not proof an announcement does not exist. Scam warnings are indicative, not convictions; risk scores are not falsehood probabilities. Image-context search cannot guarantee the first-ever publication. Store messages only under privacy-aware rules and never expose private WhatsApp group content. Meta business eligibility/public AI-bot use may be restricted; the website remains the main demo.</w:t>
      </w:r>
    </w:p>
    <w:p>
      <w:pPr>
        <w:pStyle w:val="Heading2"/>
      </w:pPr>
      <w:r>
        <w:t>Immediate start — next coding session</w:t>
      </w:r>
    </w:p>
    <w:p>
      <w:r>
        <w:rPr>
          <w:b w:val="0"/>
        </w:rPr>
        <w:t>Person 1: implement /api/health, /api/extract, /api/verify with one complete real text-to-evidence result and a fixed JSON contract; then multimodal. Person 2: implement upload/paste UX and per-claim evidence cards using that contract. Test together before spending time on tracker/radar or production WhatsApp.</w:t>
      </w:r>
    </w:p>
    <w:sectPr w:rsidR="00FC693F" w:rsidRPr="0006063C" w:rsidSect="00034616">
      <w:headerReference w:type="default" r:id="rId9"/>
      <w:footerReference w:type="default" r:id="rId10"/>
      <w:pgSz w:w="11952" w:h="16848"/>
      <w:pgMar w:top="1008" w:right="965" w:bottom="965" w:left="965" w:header="446"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A77"/>
        <w:sz w:val="15"/>
      </w:rPr>
      <w:t xml:space="preserve">OFFICIAL-PS ALIGNED  •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D7B80"/>
        <w:sz w:val="15"/>
      </w:rPr>
      <w:t>TRUTHLENS AI   /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12B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ptos" w:hAnsi="Aptos"/>
      <w:b/>
      <w:bCs/>
      <w:color w:val="112B4B"/>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D7B8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w:hAnsi="Aptos"/>
      <w:b/>
      <w:color w:val="112B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pPr>
    <w:rPr>
      <w:color w:val="5C6A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