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4D Coronary LCA Tree Generator</w:t>
      </w:r>
    </w:p>
    <w:p>
      <w:pPr>
        <w:pStyle w:val="Subtitle"/>
        <w:jc w:val="center"/>
      </w:pPr>
      <w:r>
        <w:t>Final Technical, Validation, and User Deliverable Report</w:t>
      </w:r>
    </w:p>
    <w:p>
      <w:pPr>
        <w:jc w:val="center"/>
      </w:pPr>
      <w:r>
        <w:rPr>
          <w:color w:val="1A73E8"/>
        </w:rPr>
        <w:t>____________________________________________</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tcMar>
              <w:top w:w="85" w:type="dxa"/>
              <w:start w:w="120" w:type="dxa"/>
              <w:bottom w:w="85" w:type="dxa"/>
              <w:end w:w="120" w:type="dxa"/>
            </w:tcMar>
            <w:vAlign w:val="center"/>
            <w:shd w:fill="E6F4EA"/>
          </w:tcPr>
          <w:p>
            <w:r>
              <w:rPr>
                <w:b/>
                <w:color w:val="17324D"/>
              </w:rPr>
              <w:t>Final release outcome</w:t>
              <w:br/>
            </w:r>
            <w:r>
              <w:t>52/52 population trees accepted; all 50 real-versus-generated comparisons passed; four controlled healthy/disease 4D cases passed engineering and major-vessel LCA anatomical audits.</w:t>
            </w:r>
          </w:p>
        </w:tc>
      </w:tr>
    </w:tbl>
    <w:p>
      <w:pPr>
        <w:spacing w:after="0"/>
      </w:pPr>
    </w:p>
    <w:tbl>
      <w:tblPr>
        <w:tblStyle w:val="TableGrid"/>
        <w:tblW w:type="dxa" w:w="9360"/>
        <w:tblLayout w:type="fixed"/>
        <w:tblLook w:firstColumn="1" w:firstRow="1" w:lastColumn="0" w:lastRow="0" w:noHBand="0" w:noVBand="1" w:val="04A0"/>
        <w:jc w:val="left"/>
        <w:tblInd w:w="0" w:type="dxa"/>
      </w:tblPr>
      <w:tblGrid>
        <w:gridCol w:w="2300"/>
        <w:gridCol w:w="7060"/>
      </w:tblGrid>
      <w:tr>
        <w:trPr>
          <w:cantSplit/>
          <w:tblHeader w:val="true"/>
          <w:cantSplit/>
        </w:trPr>
        <w:tc>
          <w:tcPr>
            <w:tcW w:type="dxa" w:w="2300"/>
            <w:tcMar>
              <w:top w:w="85" w:type="dxa"/>
              <w:start w:w="120" w:type="dxa"/>
              <w:bottom w:w="85" w:type="dxa"/>
              <w:end w:w="120" w:type="dxa"/>
            </w:tcMar>
            <w:vAlign w:val="center"/>
            <w:shd w:fill="EAF2FB"/>
          </w:tcPr>
          <w:p>
            <w:pPr>
              <w:jc w:val="center"/>
            </w:pPr>
            <w:r>
              <w:rPr>
                <w:b/>
                <w:sz w:val="18"/>
              </w:rPr>
              <w:t>Field</w:t>
            </w:r>
          </w:p>
        </w:tc>
        <w:tc>
          <w:tcPr>
            <w:tcW w:type="dxa" w:w="7060"/>
            <w:tcMar>
              <w:top w:w="85" w:type="dxa"/>
              <w:start w:w="120" w:type="dxa"/>
              <w:bottom w:w="85" w:type="dxa"/>
              <w:end w:w="120" w:type="dxa"/>
            </w:tcMar>
            <w:vAlign w:val="center"/>
            <w:shd w:fill="EAF2FB"/>
          </w:tcPr>
          <w:p>
            <w:pPr>
              <w:jc w:val="center"/>
            </w:pPr>
            <w:r>
              <w:rPr>
                <w:b/>
                <w:sz w:val="18"/>
              </w:rPr>
              <w:t>Value</w:t>
            </w:r>
          </w:p>
        </w:tc>
      </w:tr>
      <w:tr>
        <w:trPr>
          <w:cantSplit/>
        </w:trPr>
        <w:tc>
          <w:tcPr>
            <w:tcW w:type="dxa" w:w="2300"/>
            <w:tcMar>
              <w:top w:w="85" w:type="dxa"/>
              <w:start w:w="120" w:type="dxa"/>
              <w:bottom w:w="85" w:type="dxa"/>
              <w:end w:w="120" w:type="dxa"/>
            </w:tcMar>
            <w:vAlign w:val="center"/>
          </w:tcPr>
          <w:p>
            <w:pPr>
              <w:jc w:val="left"/>
            </w:pPr>
            <w:r>
              <w:rPr>
                <w:sz w:val="18"/>
              </w:rPr>
              <w:t>Release</w:t>
            </w:r>
          </w:p>
        </w:tc>
        <w:tc>
          <w:tcPr>
            <w:tcW w:type="dxa" w:w="7060"/>
            <w:tcMar>
              <w:top w:w="85" w:type="dxa"/>
              <w:start w:w="120" w:type="dxa"/>
              <w:bottom w:w="85" w:type="dxa"/>
              <w:end w:w="120" w:type="dxa"/>
            </w:tcMar>
            <w:vAlign w:val="center"/>
          </w:tcPr>
          <w:p>
            <w:pPr>
              <w:jc w:val="left"/>
            </w:pPr>
            <w:r>
              <w:rPr>
                <w:sz w:val="18"/>
              </w:rPr>
              <w:t>4D Coronary LCA Generator 1.0.0</w:t>
            </w:r>
          </w:p>
        </w:tc>
      </w:tr>
      <w:tr>
        <w:trPr>
          <w:cantSplit/>
        </w:trPr>
        <w:tc>
          <w:tcPr>
            <w:tcW w:type="dxa" w:w="2300"/>
            <w:tcMar>
              <w:top w:w="85" w:type="dxa"/>
              <w:start w:w="120" w:type="dxa"/>
              <w:bottom w:w="85" w:type="dxa"/>
              <w:end w:w="120" w:type="dxa"/>
            </w:tcMar>
            <w:vAlign w:val="center"/>
          </w:tcPr>
          <w:p>
            <w:pPr>
              <w:jc w:val="left"/>
            </w:pPr>
            <w:r>
              <w:rPr>
                <w:sz w:val="18"/>
              </w:rPr>
              <w:t>Model scope</w:t>
            </w:r>
          </w:p>
        </w:tc>
        <w:tc>
          <w:tcPr>
            <w:tcW w:type="dxa" w:w="7060"/>
            <w:tcMar>
              <w:top w:w="85" w:type="dxa"/>
              <w:start w:w="120" w:type="dxa"/>
              <w:bottom w:w="85" w:type="dxa"/>
              <w:end w:w="120" w:type="dxa"/>
            </w:tcMar>
            <w:vAlign w:val="center"/>
          </w:tcPr>
          <w:p>
            <w:pPr>
              <w:jc w:val="left"/>
            </w:pPr>
            <w:r>
              <w:rPr>
                <w:sz w:val="18"/>
              </w:rPr>
              <w:t>population-derived major-vessel LCA: LMCA, LAD, LCX</w:t>
            </w:r>
          </w:p>
        </w:tc>
      </w:tr>
      <w:tr>
        <w:trPr>
          <w:cantSplit/>
        </w:trPr>
        <w:tc>
          <w:tcPr>
            <w:tcW w:type="dxa" w:w="2300"/>
            <w:tcMar>
              <w:top w:w="85" w:type="dxa"/>
              <w:start w:w="120" w:type="dxa"/>
              <w:bottom w:w="85" w:type="dxa"/>
              <w:end w:w="120" w:type="dxa"/>
            </w:tcMar>
            <w:vAlign w:val="center"/>
          </w:tcPr>
          <w:p>
            <w:pPr>
              <w:jc w:val="left"/>
            </w:pPr>
            <w:r>
              <w:rPr>
                <w:sz w:val="18"/>
              </w:rPr>
              <w:t>Repository branch</w:t>
            </w:r>
          </w:p>
        </w:tc>
        <w:tc>
          <w:tcPr>
            <w:tcW w:type="dxa" w:w="7060"/>
            <w:tcMar>
              <w:top w:w="85" w:type="dxa"/>
              <w:start w:w="120" w:type="dxa"/>
              <w:bottom w:w="85" w:type="dxa"/>
              <w:end w:w="120" w:type="dxa"/>
            </w:tcMar>
            <w:vAlign w:val="center"/>
          </w:tcPr>
          <w:p>
            <w:pPr>
              <w:jc w:val="center"/>
            </w:pPr>
            <w:r>
              <w:rPr>
                <w:sz w:val="18"/>
              </w:rPr>
              <w:t>latestt_branchh</w:t>
            </w:r>
          </w:p>
        </w:tc>
      </w:tr>
      <w:tr>
        <w:trPr>
          <w:cantSplit/>
        </w:trPr>
        <w:tc>
          <w:tcPr>
            <w:tcW w:type="dxa" w:w="2300"/>
            <w:tcMar>
              <w:top w:w="85" w:type="dxa"/>
              <w:start w:w="120" w:type="dxa"/>
              <w:bottom w:w="85" w:type="dxa"/>
              <w:end w:w="120" w:type="dxa"/>
            </w:tcMar>
            <w:vAlign w:val="center"/>
          </w:tcPr>
          <w:p>
            <w:pPr>
              <w:jc w:val="left"/>
            </w:pPr>
            <w:r>
              <w:rPr>
                <w:sz w:val="18"/>
              </w:rPr>
              <w:t>Report date</w:t>
            </w:r>
          </w:p>
        </w:tc>
        <w:tc>
          <w:tcPr>
            <w:tcW w:type="dxa" w:w="7060"/>
            <w:tcMar>
              <w:top w:w="85" w:type="dxa"/>
              <w:start w:w="120" w:type="dxa"/>
              <w:bottom w:w="85" w:type="dxa"/>
              <w:end w:w="120" w:type="dxa"/>
            </w:tcMar>
            <w:vAlign w:val="center"/>
          </w:tcPr>
          <w:p>
            <w:pPr>
              <w:jc w:val="center"/>
            </w:pPr>
            <w:r>
              <w:rPr>
                <w:sz w:val="18"/>
              </w:rPr>
              <w:t>22 August 2026</w:t>
            </w:r>
          </w:p>
        </w:tc>
      </w:tr>
      <w:tr>
        <w:trPr>
          <w:cantSplit/>
        </w:trPr>
        <w:tc>
          <w:tcPr>
            <w:tcW w:type="dxa" w:w="2300"/>
            <w:tcMar>
              <w:top w:w="85" w:type="dxa"/>
              <w:start w:w="120" w:type="dxa"/>
              <w:bottom w:w="85" w:type="dxa"/>
              <w:end w:w="120" w:type="dxa"/>
            </w:tcMar>
            <w:vAlign w:val="center"/>
          </w:tcPr>
          <w:p>
            <w:pPr>
              <w:jc w:val="left"/>
            </w:pPr>
            <w:r>
              <w:rPr>
                <w:sz w:val="18"/>
              </w:rPr>
              <w:t>Software status</w:t>
            </w:r>
          </w:p>
        </w:tc>
        <w:tc>
          <w:tcPr>
            <w:tcW w:type="dxa" w:w="7060"/>
            <w:tcMar>
              <w:top w:w="85" w:type="dxa"/>
              <w:start w:w="120" w:type="dxa"/>
              <w:bottom w:w="85" w:type="dxa"/>
              <w:end w:w="120" w:type="dxa"/>
            </w:tcMar>
            <w:vAlign w:val="center"/>
          </w:tcPr>
          <w:p>
            <w:pPr>
              <w:jc w:val="center"/>
            </w:pPr>
            <w:r>
              <w:rPr>
                <w:sz w:val="18"/>
              </w:rPr>
              <w:t>PASS</w:t>
            </w:r>
          </w:p>
        </w:tc>
      </w:tr>
      <w:tr>
        <w:trPr>
          <w:cantSplit/>
        </w:trPr>
        <w:tc>
          <w:tcPr>
            <w:tcW w:type="dxa" w:w="2300"/>
            <w:tcMar>
              <w:top w:w="85" w:type="dxa"/>
              <w:start w:w="120" w:type="dxa"/>
              <w:bottom w:w="85" w:type="dxa"/>
              <w:end w:w="120" w:type="dxa"/>
            </w:tcMar>
            <w:vAlign w:val="center"/>
          </w:tcPr>
          <w:p>
            <w:pPr>
              <w:jc w:val="left"/>
            </w:pPr>
            <w:r>
              <w:rPr>
                <w:sz w:val="18"/>
              </w:rPr>
              <w:t>Clinical status</w:t>
            </w:r>
          </w:p>
        </w:tc>
        <w:tc>
          <w:tcPr>
            <w:tcW w:type="dxa" w:w="7060"/>
            <w:tcMar>
              <w:top w:w="85" w:type="dxa"/>
              <w:start w:w="120" w:type="dxa"/>
              <w:bottom w:w="85" w:type="dxa"/>
              <w:end w:w="120" w:type="dxa"/>
            </w:tcMar>
            <w:vAlign w:val="center"/>
          </w:tcPr>
          <w:p>
            <w:pPr>
              <w:jc w:val="left"/>
            </w:pPr>
            <w:r>
              <w:rPr>
                <w:sz w:val="18"/>
              </w:rPr>
              <w:t>Not clinically validated; research/engineering prototype</w:t>
            </w:r>
          </w:p>
        </w:tc>
      </w:tr>
    </w:tbl>
    <w:p>
      <w:pPr>
        <w:spacing w:after="0"/>
      </w:pPr>
    </w:p>
    <w:p>
      <w:pPr>
        <w:spacing w:before="280"/>
        <w:jc w:val="center"/>
      </w:pPr>
      <w:r>
        <w:rPr>
          <w:i/>
          <w:color w:val="5F6368"/>
        </w:rPr>
        <w:t>Prepared as the master submission document; Section 13 provides a verified handoff for later presentation authoring.</w:t>
      </w:r>
    </w:p>
    <w:p>
      <w:r>
        <w:br w:type="page"/>
      </w:r>
    </w:p>
    <w:p>
      <w:pPr>
        <w:pStyle w:val="Heading1"/>
        <w:pageBreakBefore w:val="0"/>
      </w:pPr>
      <w:r>
        <w:t>Document map</w:t>
      </w:r>
    </w:p>
    <w:p>
      <w:pPr>
        <w:pStyle w:val="ListBullet"/>
      </w:pPr>
      <w:r>
        <w:t>1. Executive summary and submission claim</w:t>
      </w:r>
    </w:p>
    <w:p>
      <w:pPr>
        <w:pStyle w:val="ListBullet"/>
      </w:pPr>
      <w:r>
        <w:t>2. Scope, objectives, and non-claims</w:t>
      </w:r>
    </w:p>
    <w:p>
      <w:pPr>
        <w:pStyle w:val="ListBullet"/>
      </w:pPr>
      <w:r>
        <w:t>3. Repository and system architecture</w:t>
      </w:r>
    </w:p>
    <w:p>
      <w:pPr>
        <w:pStyle w:val="ListBullet"/>
      </w:pPr>
      <w:r>
        <w:t>4. Source data, anatomical assignment, and coordinate systems</w:t>
      </w:r>
    </w:p>
    <w:p>
      <w:pPr>
        <w:pStyle w:val="ListBullet"/>
      </w:pPr>
      <w:r>
        <w:t>5. Statistical shape model and training population</w:t>
      </w:r>
    </w:p>
    <w:p>
      <w:pPr>
        <w:pStyle w:val="ListBullet"/>
      </w:pPr>
      <w:r>
        <w:t>6. Synthetic anatomy generation and acceptance</w:t>
      </w:r>
    </w:p>
    <w:p>
      <w:pPr>
        <w:pStyle w:val="ListBullet"/>
      </w:pPr>
      <w:r>
        <w:t>7. Radius taper, disease, motion, and pulsatility</w:t>
      </w:r>
    </w:p>
    <w:p>
      <w:pPr>
        <w:pStyle w:val="ListBullet"/>
      </w:pPr>
      <w:r>
        <w:t>8. Output contract, visualization, and operating workflow</w:t>
      </w:r>
    </w:p>
    <w:p>
      <w:pPr>
        <w:pStyle w:val="ListBullet"/>
      </w:pPr>
      <w:r>
        <w:t>9. Verification and quantitative results</w:t>
      </w:r>
    </w:p>
    <w:p>
      <w:pPr>
        <w:pStyle w:val="ListBullet"/>
      </w:pPr>
      <w:r>
        <w:t>10. Curated case-by-case deliverables</w:t>
      </w:r>
    </w:p>
    <w:p>
      <w:pPr>
        <w:pStyle w:val="ListBullet"/>
      </w:pPr>
      <w:r>
        <w:t>11. Installation, CLI, Python API, and reproducibility</w:t>
      </w:r>
    </w:p>
    <w:p>
      <w:pPr>
        <w:pStyle w:val="ListBullet"/>
      </w:pPr>
      <w:r>
        <w:t>12. Limitations, risk boundaries, and future work</w:t>
      </w:r>
    </w:p>
    <w:p>
      <w:pPr>
        <w:pStyle w:val="ListBullet"/>
      </w:pPr>
      <w:r>
        <w:t>13. Presentation handoff</w:t>
      </w:r>
    </w:p>
    <w:p>
      <w:pPr>
        <w:pStyle w:val="ListBullet"/>
      </w:pPr>
      <w:r>
        <w:t>14. Primary literature context</w:t>
      </w:r>
    </w:p>
    <w:p>
      <w:pPr>
        <w:pStyle w:val="ListBullet"/>
      </w:pPr>
      <w:r>
        <w:t>Appendices: metrics, artifact map, acceptance checklist, and commands</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tcMar>
              <w:top w:w="85" w:type="dxa"/>
              <w:start w:w="120" w:type="dxa"/>
              <w:bottom w:w="85" w:type="dxa"/>
              <w:end w:w="120" w:type="dxa"/>
            </w:tcMar>
            <w:vAlign w:val="center"/>
            <w:shd w:fill="FEF7E0"/>
          </w:tcPr>
          <w:p>
            <w:r>
              <w:rPr>
                <w:b/>
                <w:color w:val="17324D"/>
              </w:rPr>
              <w:t>How to read this report</w:t>
              <w:br/>
            </w:r>
            <w:r>
              <w:t>Software correctness, anatomical plausibility, and clinical validation are deliberately separated. A PASS means the implemented engineering contract passed; it never means clinical certification.</w:t>
            </w:r>
          </w:p>
        </w:tc>
      </w:tr>
    </w:tbl>
    <w:p>
      <w:pPr>
        <w:spacing w:after="0"/>
      </w:pPr>
    </w:p>
    <w:p>
      <w:pPr>
        <w:pStyle w:val="Heading1"/>
        <w:pageBreakBefore/>
      </w:pPr>
      <w:r>
        <w:t>1. Executive summary and submission claim</w:t>
      </w:r>
    </w:p>
    <w:p>
      <w:r>
        <w:t>The project is a reproducible generator for a major-vessel left coronary artery scaffold consisting of LMCA, LAD, and LCX. It combines an anatomy-gated population model with radius taper, controlled stenosis, cardiac motion, local lesion compliance, cyclic pulsatility, portable numerical output, ParaView export, interactive visualization, and independent validation.</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tcMar>
              <w:top w:w="85" w:type="dxa"/>
              <w:start w:w="120" w:type="dxa"/>
              <w:bottom w:w="85" w:type="dxa"/>
              <w:end w:w="120" w:type="dxa"/>
            </w:tcMar>
            <w:vAlign w:val="center"/>
            <w:shd w:fill="E6F4EA"/>
          </w:tcPr>
          <w:p>
            <w:r>
              <w:rPr>
                <w:b/>
                <w:color w:val="17324D"/>
              </w:rPr>
              <w:t>What is ready</w:t>
              <w:br/>
            </w:r>
            <w:r>
              <w:t>A usable Python API and CLI; a frozen 52-case LCA statistical package; a 52-tree population cohort; 520 motion snapshots; fixed-size XYZ-radius arrays; four controlled disease demonstrations; dashboards, GIFs, interactive HTML, VTK time series, machine-readable audits, and this final report.</w:t>
            </w:r>
          </w:p>
        </w:tc>
      </w:tr>
    </w:tbl>
    <w:p>
      <w:pPr>
        <w:spacing w:after="0"/>
      </w:pPr>
    </w:p>
    <w:tbl>
      <w:tblPr>
        <w:tblStyle w:val="TableGrid"/>
        <w:tblW w:type="dxa" w:w="9360"/>
        <w:tblLayout w:type="fixed"/>
        <w:tblLook w:firstColumn="1" w:firstRow="1" w:lastColumn="0" w:lastRow="0" w:noHBand="0" w:noVBand="1" w:val="04A0"/>
        <w:jc w:val="left"/>
        <w:tblInd w:w="0" w:type="dxa"/>
      </w:tblPr>
      <w:tblGrid>
        <w:gridCol w:w="2550"/>
        <w:gridCol w:w="5110"/>
        <w:gridCol w:w="1700"/>
      </w:tblGrid>
      <w:tr>
        <w:trPr>
          <w:cantSplit/>
          <w:tblHeader w:val="true"/>
          <w:cantSplit/>
        </w:trPr>
        <w:tc>
          <w:tcPr>
            <w:tcW w:type="dxa" w:w="2550"/>
            <w:tcMar>
              <w:top w:w="85" w:type="dxa"/>
              <w:start w:w="120" w:type="dxa"/>
              <w:bottom w:w="85" w:type="dxa"/>
              <w:end w:w="120" w:type="dxa"/>
            </w:tcMar>
            <w:vAlign w:val="center"/>
            <w:shd w:fill="EAF2FB"/>
          </w:tcPr>
          <w:p>
            <w:pPr>
              <w:jc w:val="center"/>
            </w:pPr>
            <w:r>
              <w:rPr>
                <w:b/>
                <w:sz w:val="18"/>
              </w:rPr>
              <w:t>Release gate</w:t>
            </w:r>
          </w:p>
        </w:tc>
        <w:tc>
          <w:tcPr>
            <w:tcW w:type="dxa" w:w="5110"/>
            <w:tcMar>
              <w:top w:w="85" w:type="dxa"/>
              <w:start w:w="120" w:type="dxa"/>
              <w:bottom w:w="85" w:type="dxa"/>
              <w:end w:w="120" w:type="dxa"/>
            </w:tcMar>
            <w:vAlign w:val="center"/>
            <w:shd w:fill="EAF2FB"/>
          </w:tcPr>
          <w:p>
            <w:pPr>
              <w:jc w:val="center"/>
            </w:pPr>
            <w:r>
              <w:rPr>
                <w:b/>
                <w:sz w:val="18"/>
              </w:rPr>
              <w:t>Final evidence</w:t>
            </w:r>
          </w:p>
        </w:tc>
        <w:tc>
          <w:tcPr>
            <w:tcW w:type="dxa" w:w="1700"/>
            <w:tcMar>
              <w:top w:w="85" w:type="dxa"/>
              <w:start w:w="120" w:type="dxa"/>
              <w:bottom w:w="85" w:type="dxa"/>
              <w:end w:w="120" w:type="dxa"/>
            </w:tcMar>
            <w:vAlign w:val="center"/>
            <w:shd w:fill="EAF2FB"/>
          </w:tcPr>
          <w:p>
            <w:pPr>
              <w:jc w:val="center"/>
            </w:pPr>
            <w:r>
              <w:rPr>
                <w:b/>
                <w:sz w:val="18"/>
              </w:rPr>
              <w:t>Status</w:t>
            </w:r>
          </w:p>
        </w:tc>
      </w:tr>
      <w:tr>
        <w:trPr>
          <w:cantSplit/>
        </w:trPr>
        <w:tc>
          <w:tcPr>
            <w:tcW w:type="dxa" w:w="2550"/>
            <w:tcMar>
              <w:top w:w="85" w:type="dxa"/>
              <w:start w:w="120" w:type="dxa"/>
              <w:bottom w:w="85" w:type="dxa"/>
              <w:end w:w="120" w:type="dxa"/>
            </w:tcMar>
            <w:vAlign w:val="center"/>
          </w:tcPr>
          <w:p>
            <w:pPr>
              <w:jc w:val="left"/>
            </w:pPr>
            <w:r>
              <w:rPr>
                <w:sz w:val="18"/>
              </w:rPr>
              <w:t>Source audit</w:t>
            </w:r>
          </w:p>
        </w:tc>
        <w:tc>
          <w:tcPr>
            <w:tcW w:type="dxa" w:w="5110"/>
            <w:tcMar>
              <w:top w:w="85" w:type="dxa"/>
              <w:start w:w="120" w:type="dxa"/>
              <w:bottom w:w="85" w:type="dxa"/>
              <w:end w:w="120" w:type="dxa"/>
            </w:tcMar>
            <w:vAlign w:val="center"/>
          </w:tcPr>
          <w:p>
            <w:pPr>
              <w:jc w:val="left"/>
            </w:pPr>
            <w:r>
              <w:rPr>
                <w:sz w:val="18"/>
              </w:rPr>
              <w:t>191 protected LCA records; 181 resolved daughter assignments</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PCA eligibility</w:t>
            </w:r>
          </w:p>
        </w:tc>
        <w:tc>
          <w:tcPr>
            <w:tcW w:type="dxa" w:w="5110"/>
            <w:tcMar>
              <w:top w:w="85" w:type="dxa"/>
              <w:start w:w="120" w:type="dxa"/>
              <w:bottom w:w="85" w:type="dxa"/>
              <w:end w:w="120" w:type="dxa"/>
            </w:tcMar>
            <w:vAlign w:val="center"/>
          </w:tcPr>
          <w:p>
            <w:pPr>
              <w:jc w:val="left"/>
            </w:pPr>
            <w:r>
              <w:rPr>
                <w:sz w:val="18"/>
              </w:rPr>
              <w:t>52 cases; unresolved assignments excluded</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Statistical model</w:t>
            </w:r>
          </w:p>
        </w:tc>
        <w:tc>
          <w:tcPr>
            <w:tcW w:type="dxa" w:w="5110"/>
            <w:tcMar>
              <w:top w:w="85" w:type="dxa"/>
              <w:start w:w="120" w:type="dxa"/>
              <w:bottom w:w="85" w:type="dxa"/>
              <w:end w:w="120" w:type="dxa"/>
            </w:tcMar>
            <w:vAlign w:val="center"/>
          </w:tcPr>
          <w:p>
            <w:pPr>
              <w:jc w:val="left"/>
            </w:pPr>
            <w:r>
              <w:rPr>
                <w:sz w:val="18"/>
              </w:rPr>
              <w:t>52 x 81 matrix; 13 modes; 95.55% variance</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Population generation</w:t>
            </w:r>
          </w:p>
        </w:tc>
        <w:tc>
          <w:tcPr>
            <w:tcW w:type="dxa" w:w="5110"/>
            <w:tcMar>
              <w:top w:w="85" w:type="dxa"/>
              <w:start w:w="120" w:type="dxa"/>
              <w:bottom w:w="85" w:type="dxa"/>
              <w:end w:w="120" w:type="dxa"/>
            </w:tcMar>
            <w:vAlign w:val="center"/>
          </w:tcPr>
          <w:p>
            <w:pPr>
              <w:jc w:val="left"/>
            </w:pPr>
            <w:r>
              <w:rPr>
                <w:sz w:val="18"/>
              </w:rPr>
              <w:t>52/52 accepted in 64 attempts; every baseline represented</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Distribution validation</w:t>
            </w:r>
          </w:p>
        </w:tc>
        <w:tc>
          <w:tcPr>
            <w:tcW w:type="dxa" w:w="5110"/>
            <w:tcMar>
              <w:top w:w="85" w:type="dxa"/>
              <w:start w:w="120" w:type="dxa"/>
              <w:bottom w:w="85" w:type="dxa"/>
              <w:end w:w="120" w:type="dxa"/>
            </w:tcMar>
            <w:vAlign w:val="center"/>
          </w:tcPr>
          <w:p>
            <w:pPr>
              <w:jc w:val="left"/>
            </w:pPr>
            <w:r>
              <w:rPr>
                <w:sz w:val="18"/>
              </w:rPr>
              <w:t>50/50 comparisons; zero warnings</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4D population motion</w:t>
            </w:r>
          </w:p>
        </w:tc>
        <w:tc>
          <w:tcPr>
            <w:tcW w:type="dxa" w:w="5110"/>
            <w:tcMar>
              <w:top w:w="85" w:type="dxa"/>
              <w:start w:w="120" w:type="dxa"/>
              <w:bottom w:w="85" w:type="dxa"/>
              <w:end w:w="120" w:type="dxa"/>
            </w:tcMar>
            <w:vAlign w:val="center"/>
          </w:tcPr>
          <w:p>
            <w:pPr>
              <w:jc w:val="left"/>
            </w:pPr>
            <w:r>
              <w:rPr>
                <w:sz w:val="18"/>
              </w:rPr>
              <w:t>52 trees x 10 phases; exact junction and clearance</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Submission cases</w:t>
            </w:r>
          </w:p>
        </w:tc>
        <w:tc>
          <w:tcPr>
            <w:tcW w:type="dxa" w:w="5110"/>
            <w:tcMar>
              <w:top w:w="85" w:type="dxa"/>
              <w:start w:w="120" w:type="dxa"/>
              <w:bottom w:w="85" w:type="dxa"/>
              <w:end w:w="120" w:type="dxa"/>
            </w:tcMar>
            <w:vAlign w:val="center"/>
          </w:tcPr>
          <w:p>
            <w:pPr>
              <w:jc w:val="left"/>
            </w:pPr>
            <w:r>
              <w:rPr>
                <w:sz w:val="18"/>
              </w:rPr>
              <w:t>4/4 manifests, VTK readbacks, audits and visual packs</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550"/>
            <w:tcMar>
              <w:top w:w="85" w:type="dxa"/>
              <w:start w:w="120" w:type="dxa"/>
              <w:bottom w:w="85" w:type="dxa"/>
              <w:end w:w="120" w:type="dxa"/>
            </w:tcMar>
            <w:vAlign w:val="center"/>
          </w:tcPr>
          <w:p>
            <w:pPr>
              <w:jc w:val="left"/>
            </w:pPr>
            <w:r>
              <w:rPr>
                <w:sz w:val="18"/>
              </w:rPr>
              <w:t>Regression</w:t>
            </w:r>
          </w:p>
        </w:tc>
        <w:tc>
          <w:tcPr>
            <w:tcW w:type="dxa" w:w="5110"/>
            <w:tcMar>
              <w:top w:w="85" w:type="dxa"/>
              <w:start w:w="120" w:type="dxa"/>
              <w:bottom w:w="85" w:type="dxa"/>
              <w:end w:w="120" w:type="dxa"/>
            </w:tcMar>
            <w:vAlign w:val="center"/>
          </w:tcPr>
          <w:p>
            <w:pPr>
              <w:jc w:val="left"/>
            </w:pPr>
            <w:r>
              <w:rPr>
                <w:sz w:val="18"/>
              </w:rPr>
              <w:t>92 staged/audit/focused/integrated checks; zero failures</w:t>
            </w:r>
          </w:p>
        </w:tc>
        <w:tc>
          <w:tcPr>
            <w:tcW w:type="dxa" w:w="1700"/>
            <w:tcMar>
              <w:top w:w="85" w:type="dxa"/>
              <w:start w:w="120" w:type="dxa"/>
              <w:bottom w:w="85" w:type="dxa"/>
              <w:end w:w="120" w:type="dxa"/>
            </w:tcMar>
            <w:vAlign w:val="center"/>
          </w:tcPr>
          <w:p>
            <w:pPr>
              <w:jc w:val="center"/>
            </w:pPr>
            <w:r>
              <w:rPr>
                <w:sz w:val="18"/>
              </w:rPr>
              <w:t>PASS</w:t>
            </w:r>
          </w:p>
        </w:tc>
      </w:tr>
    </w:tbl>
    <w:p>
      <w:pPr>
        <w:spacing w:after="0"/>
      </w:pPr>
    </w:p>
    <w:p>
      <w:r>
        <w:t>Submission claim: this is a validated engineering prototype for population-derived major-vessel LCA generation and controlled 4D disease visualization. It is not a complete coronary tree, a hemodynamic simulator, a diagnostic system, a patient-specific model, or a clinically validated medical device.</w:t>
      </w:r>
    </w:p>
    <w:p>
      <w:pPr>
        <w:pStyle w:val="Heading1"/>
        <w:pageBreakBefore/>
      </w:pPr>
      <w:r>
        <w:t>2. Scope, objectives, and non-claims</w:t>
      </w:r>
    </w:p>
    <w:p>
      <w:pPr>
        <w:pStyle w:val="Heading2"/>
        <w:pageBreakBefore w:val="0"/>
      </w:pPr>
      <w:r>
        <w:t>2.1 Implemented objectives</w:t>
      </w:r>
    </w:p>
    <w:p>
      <w:pPr>
        <w:pStyle w:val="ListBullet"/>
      </w:pPr>
      <w:r>
        <w:t>Use the approximately 200-label source collection rather than the early eight-patient prototype.</w:t>
      </w:r>
    </w:p>
    <w:p>
      <w:pPr>
        <w:pStyle w:val="ListBullet"/>
      </w:pPr>
      <w:r>
        <w:t>Resolve LAD/LCX daughter identity from multiple anatomical signals in a consistent NIfTI RAS frame.</w:t>
      </w:r>
    </w:p>
    <w:p>
      <w:pPr>
        <w:pStyle w:val="ListBullet"/>
      </w:pPr>
      <w:r>
        <w:t>Represent anatomy in a common LMCA-based cardiac frame and model the LMCA-LAD-LCX tree jointly.</w:t>
      </w:r>
    </w:p>
    <w:p>
      <w:pPr>
        <w:pStyle w:val="ListBullet"/>
      </w:pPr>
      <w:r>
        <w:t>Generate smooth anatomical scaffolds without altering protected source centerlines or reproducing segmentation noise point-for-point.</w:t>
      </w:r>
    </w:p>
    <w:p>
      <w:pPr>
        <w:pStyle w:val="ListBullet"/>
      </w:pPr>
      <w:r>
        <w:t>Support focal, diffuse, and tandem stenosis as explicit radius-only modifications.</w:t>
      </w:r>
    </w:p>
    <w:p>
      <w:pPr>
        <w:pStyle w:val="ListBullet"/>
      </w:pPr>
      <w:r>
        <w:t>Generate a phase-corresponded 4D cycle with deformation, pulsatility, and reduced lesion compliance.</w:t>
      </w:r>
    </w:p>
    <w:p>
      <w:pPr>
        <w:pStyle w:val="ListBullet"/>
      </w:pPr>
      <w:r>
        <w:t>Export fixed-size arrays, checksummed manifests, VTK/ParaView time series, and presentation-ready visualizations.</w:t>
      </w:r>
    </w:p>
    <w:p>
      <w:pPr>
        <w:pStyle w:val="ListBullet"/>
      </w:pPr>
      <w:r>
        <w:t>Quantitatively validate topology, anatomy, disease, motion, pulsatility, file integrity, and reproducibility.</w:t>
      </w:r>
    </w:p>
    <w:p>
      <w:pPr>
        <w:pStyle w:val="Heading2"/>
        <w:pageBreakBefore w:val="0"/>
      </w:pPr>
      <w:r>
        <w:t>2.2 Explicit non-claims</w:t>
      </w:r>
    </w:p>
    <w:p>
      <w:pPr>
        <w:pStyle w:val="ListBullet"/>
      </w:pPr>
      <w:r>
        <w:t>No population-derived RCA is claimed because the available disconnected RCA candidates are not resolved ground truth.</w:t>
      </w:r>
    </w:p>
    <w:p>
      <w:pPr>
        <w:pStyle w:val="ListBullet"/>
      </w:pPr>
      <w:r>
        <w:t>No diagonal, septal, obtuse marginal, PDA, PL, or microvascular side branches are generated in the release contract.</w:t>
      </w:r>
    </w:p>
    <w:p>
      <w:pPr>
        <w:pStyle w:val="ListBullet"/>
      </w:pPr>
      <w:r>
        <w:t>No flow, pressure, CFD, vessel-wall mechanics, myocardium, perfusion, plaque biology, or clinical outcome prediction is implemented.</w:t>
      </w:r>
    </w:p>
    <w:p>
      <w:pPr>
        <w:pStyle w:val="ListBullet"/>
      </w:pPr>
      <w:r>
        <w:t>Radii, taper, motion, pulsatility, and compliance are auditable prototype parameters rather than learned patient distributions.</w:t>
      </w:r>
    </w:p>
    <w:p>
      <w:pPr>
        <w:pStyle w:val="ListBullet"/>
      </w:pPr>
      <w:r>
        <w:t>Engineering and anatomical plausibility gates do not establish clinical validity or suitability for patient care.</w:t>
      </w:r>
    </w:p>
    <w:p>
      <w:pPr>
        <w:pStyle w:val="Heading1"/>
        <w:pageBreakBefore/>
      </w:pPr>
      <w:r>
        <w:t>3. Repository and system architecture</w:t>
      </w:r>
    </w:p>
    <w:p>
      <w:r>
        <w:t>The active system has two layers: the statistical LCA pipeline that produces frozen population artifacts, and the public integrated generator that consumes those artifacts for disease-aware 4D export. Older LCA and RCA utilities remain for traceability and compatibility but are outside the final statistical contract.</w:t>
      </w:r>
    </w:p>
    <w:tbl>
      <w:tblPr>
        <w:tblStyle w:val="TableGrid"/>
        <w:tblW w:type="dxa" w:w="9360"/>
        <w:tblLayout w:type="fixed"/>
        <w:tblLook w:firstColumn="1" w:firstRow="1" w:lastColumn="0" w:lastRow="0" w:noHBand="0" w:noVBand="1" w:val="04A0"/>
        <w:jc w:val="left"/>
        <w:tblInd w:w="0" w:type="dxa"/>
      </w:tblPr>
      <w:tblGrid>
        <w:gridCol w:w="2800"/>
        <w:gridCol w:w="6560"/>
      </w:tblGrid>
      <w:tr>
        <w:trPr>
          <w:cantSplit/>
          <w:tblHeader w:val="true"/>
          <w:cantSplit/>
        </w:trPr>
        <w:tc>
          <w:tcPr>
            <w:tcW w:type="dxa" w:w="2800"/>
            <w:tcMar>
              <w:top w:w="85" w:type="dxa"/>
              <w:start w:w="120" w:type="dxa"/>
              <w:bottom w:w="85" w:type="dxa"/>
              <w:end w:w="120" w:type="dxa"/>
            </w:tcMar>
            <w:vAlign w:val="center"/>
            <w:shd w:fill="EAF2FB"/>
          </w:tcPr>
          <w:p>
            <w:pPr>
              <w:jc w:val="center"/>
            </w:pPr>
            <w:r>
              <w:rPr>
                <w:b/>
                <w:sz w:val="18"/>
              </w:rPr>
              <w:t>Path</w:t>
            </w:r>
          </w:p>
        </w:tc>
        <w:tc>
          <w:tcPr>
            <w:tcW w:type="dxa" w:w="6560"/>
            <w:tcMar>
              <w:top w:w="85" w:type="dxa"/>
              <w:start w:w="120" w:type="dxa"/>
              <w:bottom w:w="85" w:type="dxa"/>
              <w:end w:w="120" w:type="dxa"/>
            </w:tcMar>
            <w:vAlign w:val="center"/>
            <w:shd w:fill="EAF2FB"/>
          </w:tcPr>
          <w:p>
            <w:pPr>
              <w:jc w:val="center"/>
            </w:pPr>
            <w:r>
              <w:rPr>
                <w:b/>
                <w:sz w:val="18"/>
              </w:rPr>
              <w:t>Responsibility</w:t>
            </w:r>
          </w:p>
        </w:tc>
      </w:tr>
      <w:tr>
        <w:trPr>
          <w:cantSplit/>
        </w:trPr>
        <w:tc>
          <w:tcPr>
            <w:tcW w:type="dxa" w:w="2800"/>
            <w:tcMar>
              <w:top w:w="85" w:type="dxa"/>
              <w:start w:w="120" w:type="dxa"/>
              <w:bottom w:w="85" w:type="dxa"/>
              <w:end w:w="120" w:type="dxa"/>
            </w:tcMar>
            <w:vAlign w:val="center"/>
          </w:tcPr>
          <w:p>
            <w:pPr>
              <w:jc w:val="left"/>
            </w:pPr>
            <w:r>
              <w:rPr>
                <w:sz w:val="18"/>
              </w:rPr>
              <w:t>pca_ssm_vessel_tree_generator/</w:t>
            </w:r>
          </w:p>
        </w:tc>
        <w:tc>
          <w:tcPr>
            <w:tcW w:type="dxa" w:w="6560"/>
            <w:tcMar>
              <w:top w:w="85" w:type="dxa"/>
              <w:start w:w="120" w:type="dxa"/>
              <w:bottom w:w="85" w:type="dxa"/>
              <w:end w:w="120" w:type="dxa"/>
            </w:tcMar>
            <w:vAlign w:val="center"/>
          </w:tcPr>
          <w:p>
            <w:pPr>
              <w:jc w:val="left"/>
            </w:pPr>
            <w:r>
              <w:rPr>
                <w:sz w:val="18"/>
              </w:rPr>
              <w:t>Extraction, frame alignment, surface projection, fixed representation, PCA, static generation, motion, validation, and population export.</w:t>
            </w:r>
          </w:p>
        </w:tc>
      </w:tr>
      <w:tr>
        <w:trPr>
          <w:cantSplit/>
        </w:trPr>
        <w:tc>
          <w:tcPr>
            <w:tcW w:type="dxa" w:w="2800"/>
            <w:tcMar>
              <w:top w:w="85" w:type="dxa"/>
              <w:start w:w="120" w:type="dxa"/>
              <w:bottom w:w="85" w:type="dxa"/>
              <w:end w:w="120" w:type="dxa"/>
            </w:tcMar>
            <w:vAlign w:val="center"/>
          </w:tcPr>
          <w:p>
            <w:pPr>
              <w:jc w:val="left"/>
            </w:pPr>
            <w:r>
              <w:rPr>
                <w:sz w:val="18"/>
              </w:rPr>
              <w:t>vessel_tree_generator/</w:t>
            </w:r>
          </w:p>
        </w:tc>
        <w:tc>
          <w:tcPr>
            <w:tcW w:type="dxa" w:w="6560"/>
            <w:tcMar>
              <w:top w:w="85" w:type="dxa"/>
              <w:start w:w="120" w:type="dxa"/>
              <w:bottom w:w="85" w:type="dxa"/>
              <w:end w:w="120" w:type="dxa"/>
            </w:tcMar>
            <w:vAlign w:val="center"/>
          </w:tcPr>
          <w:p>
            <w:pPr>
              <w:jc w:val="left"/>
            </w:pPr>
            <w:r>
              <w:rPr>
                <w:sz w:val="18"/>
              </w:rPr>
              <w:t>Public API/CLI, disease configurations, pulsatility, integrated 4D validation, portable export, audit, visualization, and verification.</w:t>
            </w:r>
          </w:p>
        </w:tc>
      </w:tr>
      <w:tr>
        <w:trPr>
          <w:cantSplit/>
        </w:trPr>
        <w:tc>
          <w:tcPr>
            <w:tcW w:type="dxa" w:w="2800"/>
            <w:tcMar>
              <w:top w:w="85" w:type="dxa"/>
              <w:start w:w="120" w:type="dxa"/>
              <w:bottom w:w="85" w:type="dxa"/>
              <w:end w:w="120" w:type="dxa"/>
            </w:tcMar>
            <w:vAlign w:val="center"/>
          </w:tcPr>
          <w:p>
            <w:pPr>
              <w:jc w:val="left"/>
            </w:pPr>
            <w:r>
              <w:rPr>
                <w:sz w:val="18"/>
              </w:rPr>
              <w:t>lca_vessel_tree_generator/</w:t>
            </w:r>
          </w:p>
        </w:tc>
        <w:tc>
          <w:tcPr>
            <w:tcW w:type="dxa" w:w="6560"/>
            <w:tcMar>
              <w:top w:w="85" w:type="dxa"/>
              <w:start w:w="120" w:type="dxa"/>
              <w:bottom w:w="85" w:type="dxa"/>
              <w:end w:w="120" w:type="dxa"/>
            </w:tcMar>
            <w:vAlign w:val="center"/>
          </w:tcPr>
          <w:p>
            <w:pPr>
              <w:jc w:val="left"/>
            </w:pPr>
            <w:r>
              <w:rPr>
                <w:sz w:val="18"/>
              </w:rPr>
              <w:t>Earlier LCA topology, radius, disease, tortuosity, and mesh utilities retained for compatibility.</w:t>
            </w:r>
          </w:p>
        </w:tc>
      </w:tr>
      <w:tr>
        <w:trPr>
          <w:cantSplit/>
        </w:trPr>
        <w:tc>
          <w:tcPr>
            <w:tcW w:type="dxa" w:w="2800"/>
            <w:tcMar>
              <w:top w:w="85" w:type="dxa"/>
              <w:start w:w="120" w:type="dxa"/>
              <w:bottom w:w="85" w:type="dxa"/>
              <w:end w:w="120" w:type="dxa"/>
            </w:tcMar>
            <w:vAlign w:val="center"/>
          </w:tcPr>
          <w:p>
            <w:pPr>
              <w:jc w:val="left"/>
            </w:pPr>
            <w:r>
              <w:rPr>
                <w:sz w:val="18"/>
              </w:rPr>
              <w:t>rca_vessel_tree_generator/</w:t>
            </w:r>
          </w:p>
        </w:tc>
        <w:tc>
          <w:tcPr>
            <w:tcW w:type="dxa" w:w="6560"/>
            <w:tcMar>
              <w:top w:w="85" w:type="dxa"/>
              <w:start w:w="120" w:type="dxa"/>
              <w:bottom w:w="85" w:type="dxa"/>
              <w:end w:w="120" w:type="dxa"/>
            </w:tcMar>
            <w:vAlign w:val="center"/>
          </w:tcPr>
          <w:p>
            <w:pPr>
              <w:jc w:val="left"/>
            </w:pPr>
            <w:r>
              <w:rPr>
                <w:sz w:val="18"/>
              </w:rPr>
              <w:t>Separate primitive RCA utilities; excluded from the population-derived release.</w:t>
            </w:r>
          </w:p>
        </w:tc>
      </w:tr>
      <w:tr>
        <w:trPr>
          <w:cantSplit/>
        </w:trPr>
        <w:tc>
          <w:tcPr>
            <w:tcW w:type="dxa" w:w="2800"/>
            <w:tcMar>
              <w:top w:w="85" w:type="dxa"/>
              <w:start w:w="120" w:type="dxa"/>
              <w:bottom w:w="85" w:type="dxa"/>
              <w:end w:w="120" w:type="dxa"/>
            </w:tcMar>
            <w:vAlign w:val="center"/>
          </w:tcPr>
          <w:p>
            <w:pPr>
              <w:jc w:val="left"/>
            </w:pPr>
            <w:r>
              <w:rPr>
                <w:sz w:val="18"/>
              </w:rPr>
              <w:t>tests/</w:t>
            </w:r>
          </w:p>
        </w:tc>
        <w:tc>
          <w:tcPr>
            <w:tcW w:type="dxa" w:w="6560"/>
            <w:tcMar>
              <w:top w:w="85" w:type="dxa"/>
              <w:start w:w="120" w:type="dxa"/>
              <w:bottom w:w="85" w:type="dxa"/>
              <w:end w:w="120" w:type="dxa"/>
            </w:tcMar>
            <w:vAlign w:val="center"/>
          </w:tcPr>
          <w:p>
            <w:pPr>
              <w:jc w:val="left"/>
            </w:pPr>
            <w:r>
              <w:rPr>
                <w:sz w:val="18"/>
              </w:rPr>
              <w:t>Staged Batch 2-7 tests and integrated submission contract tests.</w:t>
            </w:r>
          </w:p>
        </w:tc>
      </w:tr>
      <w:tr>
        <w:trPr>
          <w:cantSplit/>
        </w:trPr>
        <w:tc>
          <w:tcPr>
            <w:tcW w:type="dxa" w:w="2800"/>
            <w:tcMar>
              <w:top w:w="85" w:type="dxa"/>
              <w:start w:w="120" w:type="dxa"/>
              <w:bottom w:w="85" w:type="dxa"/>
              <w:end w:w="120" w:type="dxa"/>
            </w:tcMar>
            <w:vAlign w:val="center"/>
          </w:tcPr>
          <w:p>
            <w:pPr>
              <w:jc w:val="left"/>
            </w:pPr>
            <w:r>
              <w:rPr>
                <w:sz w:val="18"/>
              </w:rPr>
              <w:t>outputs/lca_ssm/</w:t>
            </w:r>
          </w:p>
        </w:tc>
        <w:tc>
          <w:tcPr>
            <w:tcW w:type="dxa" w:w="6560"/>
            <w:tcMar>
              <w:top w:w="85" w:type="dxa"/>
              <w:start w:w="120" w:type="dxa"/>
              <w:bottom w:w="85" w:type="dxa"/>
              <w:end w:w="120" w:type="dxa"/>
            </w:tcMar>
            <w:vAlign w:val="center"/>
          </w:tcPr>
          <w:p>
            <w:pPr>
              <w:jc w:val="left"/>
            </w:pPr>
            <w:r>
              <w:rPr>
                <w:sz w:val="18"/>
              </w:rPr>
              <w:t>Frozen statistics, compact population evidence, motion summary, and standardized export summary.</w:t>
            </w:r>
          </w:p>
        </w:tc>
      </w:tr>
      <w:tr>
        <w:trPr>
          <w:cantSplit/>
        </w:trPr>
        <w:tc>
          <w:tcPr>
            <w:tcW w:type="dxa" w:w="2800"/>
            <w:tcMar>
              <w:top w:w="85" w:type="dxa"/>
              <w:start w:w="120" w:type="dxa"/>
              <w:bottom w:w="85" w:type="dxa"/>
              <w:end w:w="120" w:type="dxa"/>
            </w:tcMar>
            <w:vAlign w:val="center"/>
          </w:tcPr>
          <w:p>
            <w:pPr>
              <w:jc w:val="left"/>
            </w:pPr>
            <w:r>
              <w:rPr>
                <w:sz w:val="18"/>
              </w:rPr>
              <w:t>submission_release/</w:t>
            </w:r>
          </w:p>
        </w:tc>
        <w:tc>
          <w:tcPr>
            <w:tcW w:type="dxa" w:w="6560"/>
            <w:tcMar>
              <w:top w:w="85" w:type="dxa"/>
              <w:start w:w="120" w:type="dxa"/>
              <w:bottom w:w="85" w:type="dxa"/>
              <w:end w:w="120" w:type="dxa"/>
            </w:tcMar>
            <w:vAlign w:val="center"/>
          </w:tcPr>
          <w:p>
            <w:pPr>
              <w:jc w:val="left"/>
            </w:pPr>
            <w:r>
              <w:rPr>
                <w:sz w:val="18"/>
              </w:rPr>
              <w:t>Portable four-case demonstration, visual tools, quantitative audits, reports, and release summary.</w:t>
            </w:r>
          </w:p>
        </w:tc>
      </w:tr>
      <w:tr>
        <w:trPr>
          <w:cantSplit/>
        </w:trPr>
        <w:tc>
          <w:tcPr>
            <w:tcW w:type="dxa" w:w="2800"/>
            <w:tcMar>
              <w:top w:w="85" w:type="dxa"/>
              <w:start w:w="120" w:type="dxa"/>
              <w:bottom w:w="85" w:type="dxa"/>
              <w:end w:w="120" w:type="dxa"/>
            </w:tcMar>
            <w:vAlign w:val="center"/>
          </w:tcPr>
          <w:p>
            <w:pPr>
              <w:jc w:val="left"/>
            </w:pPr>
            <w:r>
              <w:rPr>
                <w:sz w:val="18"/>
              </w:rPr>
              <w:t>examples/</w:t>
            </w:r>
          </w:p>
        </w:tc>
        <w:tc>
          <w:tcPr>
            <w:tcW w:type="dxa" w:w="6560"/>
            <w:tcMar>
              <w:top w:w="85" w:type="dxa"/>
              <w:start w:w="120" w:type="dxa"/>
              <w:bottom w:w="85" w:type="dxa"/>
              <w:end w:w="120" w:type="dxa"/>
            </w:tcMar>
            <w:vAlign w:val="center"/>
          </w:tcPr>
          <w:p>
            <w:pPr>
              <w:jc w:val="left"/>
            </w:pPr>
            <w:r>
              <w:rPr>
                <w:sz w:val="18"/>
              </w:rPr>
              <w:t>Ready-to-run focal, diffuse, and tandem JSON disease configurations.</w:t>
            </w:r>
          </w:p>
        </w:tc>
      </w:tr>
    </w:tbl>
    <w:p>
      <w:pPr>
        <w:spacing w:after="0"/>
      </w:pPr>
    </w:p>
    <w:p>
      <w:pPr>
        <w:pStyle w:val="Heading2"/>
        <w:pageBreakBefore/>
      </w:pPr>
      <w:r>
        <w:t>3.1 End-to-end data flow</w:t>
      </w:r>
    </w:p>
    <w:p>
      <w:pPr>
        <w:spacing w:after="100"/>
        <w:ind w:left="720" w:hanging="360"/>
      </w:pPr>
      <w:r>
        <w:t xml:space="preserve">1.  </w:t>
      </w:r>
      <w:r>
        <w:t>NIfTI label volumes and protected centerlines enter source audit and graph extraction.</w:t>
      </w:r>
    </w:p>
    <w:p>
      <w:pPr>
        <w:spacing w:after="100"/>
        <w:ind w:left="720" w:hanging="360"/>
      </w:pPr>
      <w:r>
        <w:t xml:space="preserve">2.  </w:t>
      </w:r>
      <w:r>
        <w:t>Multi-signal daughter assignment identifies LAD and LCX and rejects low-confidence cases.</w:t>
      </w:r>
    </w:p>
    <w:p>
      <w:pPr>
        <w:spacing w:after="100"/>
        <w:ind w:left="720" w:hanging="360"/>
      </w:pPr>
      <w:r>
        <w:t xml:space="preserve">3.  </w:t>
      </w:r>
      <w:r>
        <w:t>A common cardiac frame and ellipsoid support surface make cases comparable.</w:t>
      </w:r>
    </w:p>
    <w:p>
      <w:pPr>
        <w:spacing w:after="100"/>
        <w:ind w:left="720" w:hanging="360"/>
      </w:pPr>
      <w:r>
        <w:t xml:space="preserve">4.  </w:t>
      </w:r>
      <w:r>
        <w:t>Fixed branch samples form an 81-dimensional joint LCA vector and a 13-mode PCA model.</w:t>
      </w:r>
    </w:p>
    <w:p>
      <w:pPr>
        <w:spacing w:after="100"/>
        <w:ind w:left="720" w:hanging="360"/>
      </w:pPr>
      <w:r>
        <w:t xml:space="preserve">5.  </w:t>
      </w:r>
      <w:r>
        <w:t>Generation bootstraps a matched empirical baseline and adds small, joint PCA innovation.</w:t>
      </w:r>
    </w:p>
    <w:p>
      <w:pPr>
        <w:spacing w:after="100"/>
        <w:ind w:left="720" w:hanging="360"/>
      </w:pPr>
      <w:r>
        <w:t xml:space="preserve">6.  </w:t>
      </w:r>
      <w:r>
        <w:t>Static acceptance enforces topology, anatomy, range, progression, collision, and scaffold checks.</w:t>
      </w:r>
    </w:p>
    <w:p>
      <w:pPr>
        <w:spacing w:after="100"/>
        <w:ind w:left="720" w:hanging="360"/>
      </w:pPr>
      <w:r>
        <w:t xml:space="preserve">7.  </w:t>
      </w:r>
      <w:r>
        <w:t>Radius, disease, motion, and pulsatility produce the phase-corresponded 4D representation.</w:t>
      </w:r>
    </w:p>
    <w:p>
      <w:pPr>
        <w:spacing w:after="100"/>
        <w:ind w:left="720" w:hanging="360"/>
      </w:pPr>
      <w:r>
        <w:t xml:space="preserve">8.  </w:t>
      </w:r>
      <w:r>
        <w:t>Export writes arrays, metadata, graphs, VTK, previews, hashes, visual packs, and independent audits.</w:t>
      </w:r>
    </w:p>
    <w:p>
      <w:pPr>
        <w:pStyle w:val="Heading1"/>
        <w:pageBreakBefore/>
      </w:pPr>
      <w:r>
        <w:t>4. Source data, anatomical assignment, and coordinate systems</w:t>
      </w:r>
    </w:p>
    <w:p>
      <w:pPr>
        <w:pStyle w:val="Heading2"/>
        <w:pageBreakBefore w:val="0"/>
      </w:pPr>
      <w:r>
        <w:t>4.1 Source-data funnel</w:t>
      </w:r>
    </w:p>
    <w:tbl>
      <w:tblPr>
        <w:tblStyle w:val="TableGrid"/>
        <w:tblW w:type="dxa" w:w="9360"/>
        <w:tblLayout w:type="fixed"/>
        <w:tblLook w:firstColumn="1" w:firstRow="1" w:lastColumn="0" w:lastRow="0" w:noHBand="0" w:noVBand="1" w:val="04A0"/>
        <w:jc w:val="left"/>
        <w:tblInd w:w="0" w:type="dxa"/>
      </w:tblPr>
      <w:tblGrid>
        <w:gridCol w:w="3900"/>
        <w:gridCol w:w="1250"/>
        <w:gridCol w:w="4210"/>
      </w:tblGrid>
      <w:tr>
        <w:trPr>
          <w:cantSplit/>
          <w:tblHeader w:val="true"/>
          <w:cantSplit/>
        </w:trPr>
        <w:tc>
          <w:tcPr>
            <w:tcW w:type="dxa" w:w="3900"/>
            <w:tcMar>
              <w:top w:w="85" w:type="dxa"/>
              <w:start w:w="120" w:type="dxa"/>
              <w:bottom w:w="85" w:type="dxa"/>
              <w:end w:w="120" w:type="dxa"/>
            </w:tcMar>
            <w:vAlign w:val="center"/>
            <w:shd w:fill="EAF2FB"/>
          </w:tcPr>
          <w:p>
            <w:pPr>
              <w:jc w:val="center"/>
            </w:pPr>
            <w:r>
              <w:rPr>
                <w:b/>
                <w:sz w:val="18"/>
              </w:rPr>
              <w:t>Stage</w:t>
            </w:r>
          </w:p>
        </w:tc>
        <w:tc>
          <w:tcPr>
            <w:tcW w:type="dxa" w:w="1250"/>
            <w:tcMar>
              <w:top w:w="85" w:type="dxa"/>
              <w:start w:w="120" w:type="dxa"/>
              <w:bottom w:w="85" w:type="dxa"/>
              <w:end w:w="120" w:type="dxa"/>
            </w:tcMar>
            <w:vAlign w:val="center"/>
            <w:shd w:fill="EAF2FB"/>
          </w:tcPr>
          <w:p>
            <w:pPr>
              <w:jc w:val="center"/>
            </w:pPr>
            <w:r>
              <w:rPr>
                <w:b/>
                <w:sz w:val="18"/>
              </w:rPr>
              <w:t>Count</w:t>
            </w:r>
          </w:p>
        </w:tc>
        <w:tc>
          <w:tcPr>
            <w:tcW w:type="dxa" w:w="4210"/>
            <w:tcMar>
              <w:top w:w="85" w:type="dxa"/>
              <w:start w:w="120" w:type="dxa"/>
              <w:bottom w:w="85" w:type="dxa"/>
              <w:end w:w="120" w:type="dxa"/>
            </w:tcMar>
            <w:vAlign w:val="center"/>
            <w:shd w:fill="EAF2FB"/>
          </w:tcPr>
          <w:p>
            <w:pPr>
              <w:jc w:val="center"/>
            </w:pPr>
            <w:r>
              <w:rPr>
                <w:b/>
                <w:sz w:val="18"/>
              </w:rPr>
              <w:t>Interpretation</w:t>
            </w:r>
          </w:p>
        </w:tc>
      </w:tr>
      <w:tr>
        <w:trPr>
          <w:cantSplit/>
        </w:trPr>
        <w:tc>
          <w:tcPr>
            <w:tcW w:type="dxa" w:w="3900"/>
            <w:tcMar>
              <w:top w:w="85" w:type="dxa"/>
              <w:start w:w="120" w:type="dxa"/>
              <w:bottom w:w="85" w:type="dxa"/>
              <w:end w:w="120" w:type="dxa"/>
            </w:tcMar>
            <w:vAlign w:val="center"/>
          </w:tcPr>
          <w:p>
            <w:pPr>
              <w:jc w:val="left"/>
            </w:pPr>
            <w:r>
              <w:rPr>
                <w:sz w:val="18"/>
              </w:rPr>
              <w:t>Locally available source label volumes</w:t>
            </w:r>
          </w:p>
        </w:tc>
        <w:tc>
          <w:tcPr>
            <w:tcW w:type="dxa" w:w="1250"/>
            <w:tcMar>
              <w:top w:w="85" w:type="dxa"/>
              <w:start w:w="120" w:type="dxa"/>
              <w:bottom w:w="85" w:type="dxa"/>
              <w:end w:w="120" w:type="dxa"/>
            </w:tcMar>
            <w:vAlign w:val="center"/>
          </w:tcPr>
          <w:p>
            <w:pPr>
              <w:jc w:val="center"/>
            </w:pPr>
            <w:r>
              <w:rPr>
                <w:sz w:val="18"/>
              </w:rPr>
              <w:t>200</w:t>
            </w:r>
          </w:p>
        </w:tc>
        <w:tc>
          <w:tcPr>
            <w:tcW w:type="dxa" w:w="4210"/>
            <w:tcMar>
              <w:top w:w="85" w:type="dxa"/>
              <w:start w:w="120" w:type="dxa"/>
              <w:bottom w:w="85" w:type="dxa"/>
              <w:end w:w="120" w:type="dxa"/>
            </w:tcMar>
            <w:vAlign w:val="center"/>
          </w:tcPr>
          <w:p>
            <w:pPr>
              <w:jc w:val="left"/>
            </w:pPr>
            <w:r>
              <w:rPr>
                <w:sz w:val="18"/>
              </w:rPr>
              <w:t>Original dataset scale; not all become usable LCA records.</w:t>
            </w:r>
          </w:p>
        </w:tc>
      </w:tr>
      <w:tr>
        <w:trPr>
          <w:cantSplit/>
        </w:trPr>
        <w:tc>
          <w:tcPr>
            <w:tcW w:type="dxa" w:w="3900"/>
            <w:tcMar>
              <w:top w:w="85" w:type="dxa"/>
              <w:start w:w="120" w:type="dxa"/>
              <w:bottom w:w="85" w:type="dxa"/>
              <w:end w:w="120" w:type="dxa"/>
            </w:tcMar>
            <w:vAlign w:val="center"/>
          </w:tcPr>
          <w:p>
            <w:pPr>
              <w:jc w:val="left"/>
            </w:pPr>
            <w:r>
              <w:rPr>
                <w:sz w:val="18"/>
              </w:rPr>
              <w:t>Protected LCA centerline records</w:t>
            </w:r>
          </w:p>
        </w:tc>
        <w:tc>
          <w:tcPr>
            <w:tcW w:type="dxa" w:w="1250"/>
            <w:tcMar>
              <w:top w:w="85" w:type="dxa"/>
              <w:start w:w="120" w:type="dxa"/>
              <w:bottom w:w="85" w:type="dxa"/>
              <w:end w:w="120" w:type="dxa"/>
            </w:tcMar>
            <w:vAlign w:val="center"/>
          </w:tcPr>
          <w:p>
            <w:pPr>
              <w:jc w:val="center"/>
            </w:pPr>
            <w:r>
              <w:rPr>
                <w:sz w:val="18"/>
              </w:rPr>
              <w:t>191</w:t>
            </w:r>
          </w:p>
        </w:tc>
        <w:tc>
          <w:tcPr>
            <w:tcW w:type="dxa" w:w="4210"/>
            <w:tcMar>
              <w:top w:w="85" w:type="dxa"/>
              <w:start w:w="120" w:type="dxa"/>
              <w:bottom w:w="85" w:type="dxa"/>
              <w:end w:w="120" w:type="dxa"/>
            </w:tcMar>
            <w:vAlign w:val="center"/>
          </w:tcPr>
          <w:p>
            <w:pPr>
              <w:jc w:val="left"/>
            </w:pPr>
            <w:r>
              <w:rPr>
                <w:sz w:val="18"/>
              </w:rPr>
              <w:t>Immutable source geometry preserved.</w:t>
            </w:r>
          </w:p>
        </w:tc>
      </w:tr>
      <w:tr>
        <w:trPr>
          <w:cantSplit/>
        </w:trPr>
        <w:tc>
          <w:tcPr>
            <w:tcW w:type="dxa" w:w="3900"/>
            <w:tcMar>
              <w:top w:w="85" w:type="dxa"/>
              <w:start w:w="120" w:type="dxa"/>
              <w:bottom w:w="85" w:type="dxa"/>
              <w:end w:w="120" w:type="dxa"/>
            </w:tcMar>
            <w:vAlign w:val="center"/>
          </w:tcPr>
          <w:p>
            <w:pPr>
              <w:jc w:val="left"/>
            </w:pPr>
            <w:r>
              <w:rPr>
                <w:sz w:val="18"/>
              </w:rPr>
              <w:t>Resolved daughter assignments</w:t>
            </w:r>
          </w:p>
        </w:tc>
        <w:tc>
          <w:tcPr>
            <w:tcW w:type="dxa" w:w="1250"/>
            <w:tcMar>
              <w:top w:w="85" w:type="dxa"/>
              <w:start w:w="120" w:type="dxa"/>
              <w:bottom w:w="85" w:type="dxa"/>
              <w:end w:w="120" w:type="dxa"/>
            </w:tcMar>
            <w:vAlign w:val="center"/>
          </w:tcPr>
          <w:p>
            <w:pPr>
              <w:jc w:val="center"/>
            </w:pPr>
            <w:r>
              <w:rPr>
                <w:sz w:val="18"/>
              </w:rPr>
              <w:t>181</w:t>
            </w:r>
          </w:p>
        </w:tc>
        <w:tc>
          <w:tcPr>
            <w:tcW w:type="dxa" w:w="4210"/>
            <w:tcMar>
              <w:top w:w="85" w:type="dxa"/>
              <w:start w:w="120" w:type="dxa"/>
              <w:bottom w:w="85" w:type="dxa"/>
              <w:end w:w="120" w:type="dxa"/>
            </w:tcMar>
            <w:vAlign w:val="center"/>
          </w:tcPr>
          <w:p>
            <w:pPr>
              <w:jc w:val="left"/>
            </w:pPr>
            <w:r>
              <w:rPr>
                <w:sz w:val="18"/>
              </w:rPr>
              <w:t>Multi-signal confidence gate passed.</w:t>
            </w:r>
          </w:p>
        </w:tc>
      </w:tr>
      <w:tr>
        <w:trPr>
          <w:cantSplit/>
        </w:trPr>
        <w:tc>
          <w:tcPr>
            <w:tcW w:type="dxa" w:w="3900"/>
            <w:tcMar>
              <w:top w:w="85" w:type="dxa"/>
              <w:start w:w="120" w:type="dxa"/>
              <w:bottom w:w="85" w:type="dxa"/>
              <w:end w:w="120" w:type="dxa"/>
            </w:tcMar>
            <w:vAlign w:val="center"/>
          </w:tcPr>
          <w:p>
            <w:pPr>
              <w:jc w:val="left"/>
            </w:pPr>
            <w:r>
              <w:rPr>
                <w:sz w:val="18"/>
              </w:rPr>
              <w:t>Source + scaffold core-anatomy pass</w:t>
            </w:r>
          </w:p>
        </w:tc>
        <w:tc>
          <w:tcPr>
            <w:tcW w:type="dxa" w:w="1250"/>
            <w:tcMar>
              <w:top w:w="85" w:type="dxa"/>
              <w:start w:w="120" w:type="dxa"/>
              <w:bottom w:w="85" w:type="dxa"/>
              <w:end w:w="120" w:type="dxa"/>
            </w:tcMar>
            <w:vAlign w:val="center"/>
          </w:tcPr>
          <w:p>
            <w:pPr>
              <w:jc w:val="center"/>
            </w:pPr>
            <w:r>
              <w:rPr>
                <w:sz w:val="18"/>
              </w:rPr>
              <w:t>65</w:t>
            </w:r>
          </w:p>
        </w:tc>
        <w:tc>
          <w:tcPr>
            <w:tcW w:type="dxa" w:w="4210"/>
            <w:tcMar>
              <w:top w:w="85" w:type="dxa"/>
              <w:start w:w="120" w:type="dxa"/>
              <w:bottom w:w="85" w:type="dxa"/>
              <w:end w:w="120" w:type="dxa"/>
            </w:tcMar>
            <w:vAlign w:val="center"/>
          </w:tcPr>
          <w:p>
            <w:pPr>
              <w:jc w:val="left"/>
            </w:pPr>
            <w:r>
              <w:rPr>
                <w:sz w:val="18"/>
              </w:rPr>
              <w:t>Both independent course checks pass after confident assignment.</w:t>
            </w:r>
          </w:p>
        </w:tc>
      </w:tr>
      <w:tr>
        <w:trPr>
          <w:cantSplit/>
        </w:trPr>
        <w:tc>
          <w:tcPr>
            <w:tcW w:type="dxa" w:w="3900"/>
            <w:tcMar>
              <w:top w:w="85" w:type="dxa"/>
              <w:start w:w="120" w:type="dxa"/>
              <w:bottom w:w="85" w:type="dxa"/>
              <w:end w:w="120" w:type="dxa"/>
            </w:tcMar>
            <w:vAlign w:val="center"/>
          </w:tcPr>
          <w:p>
            <w:pPr>
              <w:jc w:val="left"/>
            </w:pPr>
            <w:r>
              <w:rPr>
                <w:sz w:val="18"/>
              </w:rPr>
              <w:t>Ellipsoid-quality exclusions</w:t>
            </w:r>
          </w:p>
        </w:tc>
        <w:tc>
          <w:tcPr>
            <w:tcW w:type="dxa" w:w="1250"/>
            <w:tcMar>
              <w:top w:w="85" w:type="dxa"/>
              <w:start w:w="120" w:type="dxa"/>
              <w:bottom w:w="85" w:type="dxa"/>
              <w:end w:w="120" w:type="dxa"/>
            </w:tcMar>
            <w:vAlign w:val="center"/>
          </w:tcPr>
          <w:p>
            <w:pPr>
              <w:jc w:val="center"/>
            </w:pPr>
            <w:r>
              <w:rPr>
                <w:sz w:val="18"/>
              </w:rPr>
              <w:t>13</w:t>
            </w:r>
          </w:p>
        </w:tc>
        <w:tc>
          <w:tcPr>
            <w:tcW w:type="dxa" w:w="4210"/>
            <w:tcMar>
              <w:top w:w="85" w:type="dxa"/>
              <w:start w:w="120" w:type="dxa"/>
              <w:bottom w:w="85" w:type="dxa"/>
              <w:end w:w="120" w:type="dxa"/>
            </w:tcMar>
            <w:vAlign w:val="center"/>
          </w:tcPr>
          <w:p>
            <w:pPr>
              <w:jc w:val="left"/>
            </w:pPr>
            <w:r>
              <w:rPr>
                <w:sz w:val="18"/>
              </w:rPr>
              <w:t>Long-tailed/underconstrained support geometry excluded without lowering gates.</w:t>
            </w:r>
          </w:p>
        </w:tc>
      </w:tr>
      <w:tr>
        <w:trPr>
          <w:cantSplit/>
        </w:trPr>
        <w:tc>
          <w:tcPr>
            <w:tcW w:type="dxa" w:w="3900"/>
            <w:tcMar>
              <w:top w:w="85" w:type="dxa"/>
              <w:start w:w="120" w:type="dxa"/>
              <w:bottom w:w="85" w:type="dxa"/>
              <w:end w:w="120" w:type="dxa"/>
            </w:tcMar>
            <w:vAlign w:val="center"/>
          </w:tcPr>
          <w:p>
            <w:pPr>
              <w:jc w:val="left"/>
            </w:pPr>
            <w:r>
              <w:rPr>
                <w:sz w:val="18"/>
              </w:rPr>
              <w:t>PCA/statistics eligible</w:t>
            </w:r>
          </w:p>
        </w:tc>
        <w:tc>
          <w:tcPr>
            <w:tcW w:type="dxa" w:w="1250"/>
            <w:tcMar>
              <w:top w:w="85" w:type="dxa"/>
              <w:start w:w="120" w:type="dxa"/>
              <w:bottom w:w="85" w:type="dxa"/>
              <w:end w:w="120" w:type="dxa"/>
            </w:tcMar>
            <w:vAlign w:val="center"/>
          </w:tcPr>
          <w:p>
            <w:pPr>
              <w:jc w:val="center"/>
            </w:pPr>
            <w:r>
              <w:rPr>
                <w:sz w:val="18"/>
              </w:rPr>
              <w:t>52</w:t>
            </w:r>
          </w:p>
        </w:tc>
        <w:tc>
          <w:tcPr>
            <w:tcW w:type="dxa" w:w="4210"/>
            <w:tcMar>
              <w:top w:w="85" w:type="dxa"/>
              <w:start w:w="120" w:type="dxa"/>
              <w:bottom w:w="85" w:type="dxa"/>
              <w:end w:w="120" w:type="dxa"/>
            </w:tcMar>
            <w:vAlign w:val="center"/>
          </w:tcPr>
          <w:p>
            <w:pPr>
              <w:jc w:val="left"/>
            </w:pPr>
            <w:r>
              <w:rPr>
                <w:sz w:val="18"/>
              </w:rPr>
              <w:t>All assignment, frame, ellipsoid, integrity, representation, and anatomy gates passed.</w:t>
            </w:r>
          </w:p>
        </w:tc>
      </w:tr>
      <w:tr>
        <w:trPr>
          <w:cantSplit/>
        </w:trPr>
        <w:tc>
          <w:tcPr>
            <w:tcW w:type="dxa" w:w="3900"/>
            <w:tcMar>
              <w:top w:w="85" w:type="dxa"/>
              <w:start w:w="120" w:type="dxa"/>
              <w:bottom w:w="85" w:type="dxa"/>
              <w:end w:w="120" w:type="dxa"/>
            </w:tcMar>
            <w:vAlign w:val="center"/>
          </w:tcPr>
          <w:p>
            <w:pPr>
              <w:jc w:val="left"/>
            </w:pPr>
            <w:r>
              <w:rPr>
                <w:sz w:val="18"/>
              </w:rPr>
              <w:t>Unresolved assignments used</w:t>
            </w:r>
          </w:p>
        </w:tc>
        <w:tc>
          <w:tcPr>
            <w:tcW w:type="dxa" w:w="1250"/>
            <w:tcMar>
              <w:top w:w="85" w:type="dxa"/>
              <w:start w:w="120" w:type="dxa"/>
              <w:bottom w:w="85" w:type="dxa"/>
              <w:end w:w="120" w:type="dxa"/>
            </w:tcMar>
            <w:vAlign w:val="center"/>
          </w:tcPr>
          <w:p>
            <w:pPr>
              <w:jc w:val="center"/>
            </w:pPr>
            <w:r>
              <w:rPr>
                <w:sz w:val="18"/>
              </w:rPr>
              <w:t>0</w:t>
            </w:r>
          </w:p>
        </w:tc>
        <w:tc>
          <w:tcPr>
            <w:tcW w:type="dxa" w:w="4210"/>
            <w:tcMar>
              <w:top w:w="85" w:type="dxa"/>
              <w:start w:w="120" w:type="dxa"/>
              <w:bottom w:w="85" w:type="dxa"/>
              <w:end w:w="120" w:type="dxa"/>
            </w:tcMar>
            <w:vAlign w:val="center"/>
          </w:tcPr>
          <w:p>
            <w:pPr>
              <w:jc w:val="left"/>
            </w:pPr>
            <w:r>
              <w:rPr>
                <w:sz w:val="18"/>
              </w:rPr>
              <w:t>Excluded from statistics and generation.</w:t>
            </w:r>
          </w:p>
        </w:tc>
      </w:tr>
    </w:tbl>
    <w:p>
      <w:pPr>
        <w:spacing w:after="0"/>
      </w:pPr>
    </w:p>
    <w:p>
      <w:pPr>
        <w:pStyle w:val="Heading2"/>
        <w:pageBreakBefore w:val="0"/>
      </w:pPr>
      <w:r>
        <w:t>4.2 LAD/LCX assignment logic</w:t>
      </w:r>
    </w:p>
    <w:p>
      <w:r>
        <w:t>Daughter identity is not selected from root radius or a single direction vector. Candidate assignments are scored using branch length, negative RAS-Z inferior/apical displacement, displacement-to-length ratios, initial direction, descending-segment fraction, horizontal/circumferential course, terminal lateral reach, and crown-plane behavior. Low score or small assignment margin causes exclusion/manual review.</w:t>
      </w:r>
    </w:p>
    <w:tbl>
      <w:tblPr>
        <w:tblStyle w:val="TableGrid"/>
        <w:tblW w:type="dxa" w:w="9360"/>
        <w:tblLayout w:type="fixed"/>
        <w:tblLook w:firstColumn="1" w:firstRow="1" w:lastColumn="0" w:lastRow="0" w:noHBand="0" w:noVBand="1" w:val="04A0"/>
        <w:jc w:val="left"/>
        <w:tblInd w:w="0" w:type="dxa"/>
      </w:tblPr>
      <w:tblGrid>
        <w:gridCol w:w="4680"/>
        <w:gridCol w:w="4680"/>
      </w:tblGrid>
      <w:tr>
        <w:trPr>
          <w:cantSplit/>
          <w:tblHeader w:val="true"/>
          <w:cantSplit/>
        </w:trPr>
        <w:tc>
          <w:tcPr>
            <w:tcW w:type="dxa" w:w="4680"/>
            <w:tcMar>
              <w:top w:w="85" w:type="dxa"/>
              <w:start w:w="120" w:type="dxa"/>
              <w:bottom w:w="85" w:type="dxa"/>
              <w:end w:w="120" w:type="dxa"/>
            </w:tcMar>
            <w:vAlign w:val="center"/>
            <w:shd w:fill="EAF2FB"/>
          </w:tcPr>
          <w:p>
            <w:pPr>
              <w:jc w:val="center"/>
            </w:pPr>
            <w:r>
              <w:rPr>
                <w:b/>
                <w:sz w:val="18"/>
              </w:rPr>
              <w:t>Expected LAD behavior</w:t>
            </w:r>
          </w:p>
        </w:tc>
        <w:tc>
          <w:tcPr>
            <w:tcW w:type="dxa" w:w="4680"/>
            <w:tcMar>
              <w:top w:w="85" w:type="dxa"/>
              <w:start w:w="120" w:type="dxa"/>
              <w:bottom w:w="85" w:type="dxa"/>
              <w:end w:w="120" w:type="dxa"/>
            </w:tcMar>
            <w:vAlign w:val="center"/>
            <w:shd w:fill="EAF2FB"/>
          </w:tcPr>
          <w:p>
            <w:pPr>
              <w:jc w:val="center"/>
            </w:pPr>
            <w:r>
              <w:rPr>
                <w:b/>
                <w:sz w:val="18"/>
              </w:rPr>
              <w:t>Expected LCX behavior</w:t>
            </w:r>
          </w:p>
        </w:tc>
      </w:tr>
      <w:tr>
        <w:trPr>
          <w:cantSplit/>
        </w:trPr>
        <w:tc>
          <w:tcPr>
            <w:tcW w:type="dxa" w:w="4680"/>
            <w:tcMar>
              <w:top w:w="85" w:type="dxa"/>
              <w:start w:w="120" w:type="dxa"/>
              <w:bottom w:w="85" w:type="dxa"/>
              <w:end w:w="120" w:type="dxa"/>
            </w:tcMar>
            <w:vAlign w:val="center"/>
          </w:tcPr>
          <w:p>
            <w:pPr>
              <w:jc w:val="left"/>
            </w:pPr>
            <w:r>
              <w:rPr>
                <w:sz w:val="18"/>
              </w:rPr>
              <w:t>Dominant inferior/apex-directed displacement</w:t>
            </w:r>
          </w:p>
        </w:tc>
        <w:tc>
          <w:tcPr>
            <w:tcW w:type="dxa" w:w="4680"/>
            <w:tcMar>
              <w:top w:w="85" w:type="dxa"/>
              <w:start w:w="120" w:type="dxa"/>
              <w:bottom w:w="85" w:type="dxa"/>
              <w:end w:w="120" w:type="dxa"/>
            </w:tcMar>
            <w:vAlign w:val="center"/>
          </w:tcPr>
          <w:p>
            <w:pPr>
              <w:jc w:val="left"/>
            </w:pPr>
            <w:r>
              <w:rPr>
                <w:sz w:val="18"/>
              </w:rPr>
              <w:t>Greater lateral/circumferential displacement</w:t>
            </w:r>
          </w:p>
        </w:tc>
      </w:tr>
      <w:tr>
        <w:trPr>
          <w:cantSplit/>
        </w:trPr>
        <w:tc>
          <w:tcPr>
            <w:tcW w:type="dxa" w:w="4680"/>
            <w:tcMar>
              <w:top w:w="85" w:type="dxa"/>
              <w:start w:w="120" w:type="dxa"/>
              <w:bottom w:w="85" w:type="dxa"/>
              <w:end w:w="120" w:type="dxa"/>
            </w:tcMar>
            <w:vAlign w:val="center"/>
          </w:tcPr>
          <w:p>
            <w:pPr>
              <w:jc w:val="left"/>
            </w:pPr>
            <w:r>
              <w:rPr>
                <w:sz w:val="18"/>
              </w:rPr>
              <w:t>Sustained longitudinal descent</w:t>
            </w:r>
          </w:p>
        </w:tc>
        <w:tc>
          <w:tcPr>
            <w:tcW w:type="dxa" w:w="4680"/>
            <w:tcMar>
              <w:top w:w="85" w:type="dxa"/>
              <w:start w:w="120" w:type="dxa"/>
              <w:bottom w:w="85" w:type="dxa"/>
              <w:end w:w="120" w:type="dxa"/>
            </w:tcMar>
            <w:vAlign w:val="center"/>
          </w:tcPr>
          <w:p>
            <w:pPr>
              <w:jc w:val="center"/>
            </w:pPr>
            <w:r>
              <w:rPr>
                <w:sz w:val="18"/>
              </w:rPr>
              <w:t>Horizontal crown-like course</w:t>
            </w:r>
          </w:p>
        </w:tc>
      </w:tr>
      <w:tr>
        <w:trPr>
          <w:cantSplit/>
        </w:trPr>
        <w:tc>
          <w:tcPr>
            <w:tcW w:type="dxa" w:w="4680"/>
            <w:tcMar>
              <w:top w:w="85" w:type="dxa"/>
              <w:start w:w="120" w:type="dxa"/>
              <w:bottom w:w="85" w:type="dxa"/>
              <w:end w:w="120" w:type="dxa"/>
            </w:tcMar>
            <w:vAlign w:val="center"/>
          </w:tcPr>
          <w:p>
            <w:pPr>
              <w:jc w:val="left"/>
            </w:pPr>
            <w:r>
              <w:rPr>
                <w:sz w:val="18"/>
              </w:rPr>
              <w:t>Typically longer major daughter</w:t>
            </w:r>
          </w:p>
        </w:tc>
        <w:tc>
          <w:tcPr>
            <w:tcW w:type="dxa" w:w="4680"/>
            <w:tcMar>
              <w:top w:w="85" w:type="dxa"/>
              <w:start w:w="120" w:type="dxa"/>
              <w:bottom w:w="85" w:type="dxa"/>
              <w:end w:w="120" w:type="dxa"/>
            </w:tcMar>
            <w:vAlign w:val="center"/>
          </w:tcPr>
          <w:p>
            <w:pPr>
              <w:jc w:val="left"/>
            </w:pPr>
            <w:r>
              <w:rPr>
                <w:sz w:val="18"/>
              </w:rPr>
              <w:t>Less inferior displacement than LAD</w:t>
            </w:r>
          </w:p>
        </w:tc>
      </w:tr>
      <w:tr>
        <w:trPr>
          <w:cantSplit/>
        </w:trPr>
        <w:tc>
          <w:tcPr>
            <w:tcW w:type="dxa" w:w="4680"/>
            <w:tcMar>
              <w:top w:w="85" w:type="dxa"/>
              <w:start w:w="120" w:type="dxa"/>
              <w:bottom w:w="85" w:type="dxa"/>
              <w:end w:w="120" w:type="dxa"/>
            </w:tcMar>
            <w:vAlign w:val="center"/>
          </w:tcPr>
          <w:p>
            <w:pPr>
              <w:jc w:val="left"/>
            </w:pPr>
            <w:r>
              <w:rPr>
                <w:sz w:val="18"/>
              </w:rPr>
              <w:t>Initial direction contains inferior component</w:t>
            </w:r>
          </w:p>
        </w:tc>
        <w:tc>
          <w:tcPr>
            <w:tcW w:type="dxa" w:w="4680"/>
            <w:tcMar>
              <w:top w:w="85" w:type="dxa"/>
              <w:start w:w="120" w:type="dxa"/>
              <w:bottom w:w="85" w:type="dxa"/>
              <w:end w:w="120" w:type="dxa"/>
            </w:tcMar>
            <w:vAlign w:val="center"/>
          </w:tcPr>
          <w:p>
            <w:pPr>
              <w:jc w:val="left"/>
            </w:pPr>
            <w:r>
              <w:rPr>
                <w:sz w:val="18"/>
              </w:rPr>
              <w:t>Initial direction contains strong horizontal component</w:t>
            </w:r>
          </w:p>
        </w:tc>
      </w:tr>
    </w:tbl>
    <w:p>
      <w:pPr>
        <w:spacing w:after="0"/>
      </w:pPr>
    </w:p>
    <w:p>
      <w:pPr>
        <w:pStyle w:val="Heading2"/>
        <w:pageBreakBefore w:val="0"/>
      </w:pPr>
      <w:r>
        <w:t>4.3 Coordinate frames and surfaces</w:t>
      </w:r>
    </w:p>
    <w:p>
      <w:r>
        <w:t>Source anatomy is interpreted in NIfTI RAS orientation and mapped into a common right-handed cardiac frame anchored to LMCA and the LCA bifurcation. The fixed front view uses cardiac X-Z with negative Z toward the apex. Surface-relative coordinates store ellipsoid parameters (u, v, normal offset) plus a local tangent-u, tangent-v, and normal deviation basis. Separate LAD and LCX anatomical planes remain descriptive evidence; the generator does not force every centerline point onto an ellipse or plane. The stored surface mapping is an angular/radial parameterization with exact local-basis reconstruction; it is not claimed to be a Euclidean nearest-point-on-ellipsoid solution.</w:t>
      </w:r>
    </w:p>
    <w:p>
      <w:pPr>
        <w:pStyle w:val="Heading2"/>
        <w:pageBreakBefore w:val="0"/>
      </w:pPr>
      <w:r>
        <w:t>4.4 Original PPT two-plane/two-ellipse contract</w:t>
      </w:r>
    </w:p>
    <w:p>
      <w:r>
        <w:t>The original measurement model remains a first-class deliverable rather than being replaced by the later ellipsoid/PCA architecture. For each successful case, source XYZ is fitted by two independent SVD/least-squares planes. Points are expressed in each measured plane and passed to a separate actual ellipse estimator for a, b, tilt, landmark theta, angular extent, and residual calculation. The two measured planes are not forced orthogonal; only the separately derived common cardiac frame is orthonormal.</w:t>
      </w:r>
    </w:p>
    <w:tbl>
      <w:tblPr>
        <w:tblStyle w:val="TableGrid"/>
        <w:tblW w:type="dxa" w:w="9360"/>
        <w:tblLayout w:type="fixed"/>
        <w:tblLook w:firstColumn="1" w:firstRow="1" w:lastColumn="0" w:lastRow="0" w:noHBand="0" w:noVBand="1" w:val="04A0"/>
        <w:jc w:val="left"/>
        <w:tblInd w:w="0" w:type="dxa"/>
      </w:tblPr>
      <w:tblGrid>
        <w:gridCol w:w="4200"/>
        <w:gridCol w:w="5160"/>
      </w:tblGrid>
      <w:tr>
        <w:trPr>
          <w:cantSplit/>
          <w:tblHeader w:val="true"/>
          <w:cantSplit/>
        </w:trPr>
        <w:tc>
          <w:tcPr>
            <w:tcW w:type="dxa" w:w="4200"/>
            <w:tcMar>
              <w:top w:w="85" w:type="dxa"/>
              <w:start w:w="120" w:type="dxa"/>
              <w:bottom w:w="85" w:type="dxa"/>
              <w:end w:w="120" w:type="dxa"/>
            </w:tcMar>
            <w:vAlign w:val="center"/>
            <w:shd w:fill="EAF2FB"/>
          </w:tcPr>
          <w:p>
            <w:pPr>
              <w:jc w:val="center"/>
            </w:pPr>
            <w:r>
              <w:rPr>
                <w:b/>
                <w:sz w:val="18"/>
              </w:rPr>
              <w:t>Original requirement</w:t>
            </w:r>
          </w:p>
        </w:tc>
        <w:tc>
          <w:tcPr>
            <w:tcW w:type="dxa" w:w="5160"/>
            <w:tcMar>
              <w:top w:w="85" w:type="dxa"/>
              <w:start w:w="120" w:type="dxa"/>
              <w:bottom w:w="85" w:type="dxa"/>
              <w:end w:w="120" w:type="dxa"/>
            </w:tcMar>
            <w:vAlign w:val="center"/>
            <w:shd w:fill="EAF2FB"/>
          </w:tcPr>
          <w:p>
            <w:pPr>
              <w:jc w:val="center"/>
            </w:pPr>
            <w:r>
              <w:rPr>
                <w:b/>
                <w:sz w:val="18"/>
              </w:rPr>
              <w:t>Verified evidence</w:t>
            </w:r>
          </w:p>
        </w:tc>
      </w:tr>
      <w:tr>
        <w:trPr>
          <w:cantSplit/>
        </w:trPr>
        <w:tc>
          <w:tcPr>
            <w:tcW w:type="dxa" w:w="4200"/>
            <w:tcMar>
              <w:top w:w="85" w:type="dxa"/>
              <w:start w:w="120" w:type="dxa"/>
              <w:bottom w:w="85" w:type="dxa"/>
              <w:end w:w="120" w:type="dxa"/>
            </w:tcMar>
            <w:vAlign w:val="center"/>
          </w:tcPr>
          <w:p>
            <w:pPr>
              <w:jc w:val="left"/>
            </w:pPr>
            <w:r>
              <w:rPr>
                <w:sz w:val="18"/>
              </w:rPr>
              <w:t>NIfTI discovery</w:t>
            </w:r>
          </w:p>
        </w:tc>
        <w:tc>
          <w:tcPr>
            <w:tcW w:type="dxa" w:w="5160"/>
            <w:tcMar>
              <w:top w:w="85" w:type="dxa"/>
              <w:start w:w="120" w:type="dxa"/>
              <w:bottom w:w="85" w:type="dxa"/>
              <w:end w:w="120" w:type="dxa"/>
            </w:tcMar>
            <w:vAlign w:val="center"/>
          </w:tcPr>
          <w:p>
            <w:pPr>
              <w:jc w:val="center"/>
            </w:pPr>
            <w:r>
              <w:rPr>
                <w:sz w:val="18"/>
              </w:rPr>
              <w:t>200 labels</w:t>
            </w:r>
          </w:p>
        </w:tc>
      </w:tr>
      <w:tr>
        <w:trPr>
          <w:cantSplit/>
        </w:trPr>
        <w:tc>
          <w:tcPr>
            <w:tcW w:type="dxa" w:w="4200"/>
            <w:tcMar>
              <w:top w:w="85" w:type="dxa"/>
              <w:start w:w="120" w:type="dxa"/>
              <w:bottom w:w="85" w:type="dxa"/>
              <w:end w:w="120" w:type="dxa"/>
            </w:tcMar>
            <w:vAlign w:val="center"/>
          </w:tcPr>
          <w:p>
            <w:pPr>
              <w:jc w:val="left"/>
            </w:pPr>
            <w:r>
              <w:rPr>
                <w:sz w:val="18"/>
              </w:rPr>
              <w:t>Centerlines / landmarks / two planes / two ellipses</w:t>
            </w:r>
          </w:p>
        </w:tc>
        <w:tc>
          <w:tcPr>
            <w:tcW w:type="dxa" w:w="5160"/>
            <w:tcMar>
              <w:top w:w="85" w:type="dxa"/>
              <w:start w:w="120" w:type="dxa"/>
              <w:bottom w:w="85" w:type="dxa"/>
              <w:end w:w="120" w:type="dxa"/>
            </w:tcMar>
            <w:vAlign w:val="center"/>
          </w:tcPr>
          <w:p>
            <w:pPr>
              <w:jc w:val="center"/>
            </w:pPr>
            <w:r>
              <w:rPr>
                <w:sz w:val="18"/>
              </w:rPr>
              <w:t>191 cases</w:t>
            </w:r>
          </w:p>
        </w:tc>
      </w:tr>
      <w:tr>
        <w:trPr>
          <w:cantSplit/>
        </w:trPr>
        <w:tc>
          <w:tcPr>
            <w:tcW w:type="dxa" w:w="4200"/>
            <w:tcMar>
              <w:top w:w="85" w:type="dxa"/>
              <w:start w:w="120" w:type="dxa"/>
              <w:bottom w:w="85" w:type="dxa"/>
              <w:end w:w="120" w:type="dxa"/>
            </w:tcMar>
            <w:vAlign w:val="center"/>
          </w:tcPr>
          <w:p>
            <w:pPr>
              <w:jc w:val="left"/>
            </w:pPr>
            <w:r>
              <w:rPr>
                <w:sz w:val="18"/>
              </w:rPr>
              <w:t>Per-point ellipse deviations</w:t>
            </w:r>
          </w:p>
        </w:tc>
        <w:tc>
          <w:tcPr>
            <w:tcW w:type="dxa" w:w="5160"/>
            <w:tcMar>
              <w:top w:w="85" w:type="dxa"/>
              <w:start w:w="120" w:type="dxa"/>
              <w:bottom w:w="85" w:type="dxa"/>
              <w:end w:w="120" w:type="dxa"/>
            </w:tcMar>
            <w:vAlign w:val="center"/>
          </w:tcPr>
          <w:p>
            <w:pPr>
              <w:jc w:val="center"/>
            </w:pPr>
            <w:r>
              <w:rPr>
                <w:sz w:val="18"/>
              </w:rPr>
              <w:t>77,337 records</w:t>
            </w:r>
          </w:p>
        </w:tc>
      </w:tr>
      <w:tr>
        <w:trPr>
          <w:cantSplit/>
        </w:trPr>
        <w:tc>
          <w:tcPr>
            <w:tcW w:type="dxa" w:w="4200"/>
            <w:tcMar>
              <w:top w:w="85" w:type="dxa"/>
              <w:start w:w="120" w:type="dxa"/>
              <w:bottom w:w="85" w:type="dxa"/>
              <w:end w:w="120" w:type="dxa"/>
            </w:tcMar>
            <w:vAlign w:val="center"/>
          </w:tcPr>
          <w:p>
            <w:pPr>
              <w:jc w:val="left"/>
            </w:pPr>
            <w:r>
              <w:rPr>
                <w:sz w:val="18"/>
              </w:rPr>
              <w:t>Source-coordinate change</w:t>
            </w:r>
          </w:p>
        </w:tc>
        <w:tc>
          <w:tcPr>
            <w:tcW w:type="dxa" w:w="5160"/>
            <w:tcMar>
              <w:top w:w="85" w:type="dxa"/>
              <w:start w:w="120" w:type="dxa"/>
              <w:bottom w:w="85" w:type="dxa"/>
              <w:end w:w="120" w:type="dxa"/>
            </w:tcMar>
            <w:vAlign w:val="center"/>
          </w:tcPr>
          <w:p>
            <w:pPr>
              <w:jc w:val="center"/>
            </w:pPr>
            <w:r>
              <w:rPr>
                <w:sz w:val="18"/>
              </w:rPr>
              <w:t>0 mm</w:t>
            </w:r>
          </w:p>
        </w:tc>
      </w:tr>
      <w:tr>
        <w:trPr>
          <w:cantSplit/>
        </w:trPr>
        <w:tc>
          <w:tcPr>
            <w:tcW w:type="dxa" w:w="4200"/>
            <w:tcMar>
              <w:top w:w="85" w:type="dxa"/>
              <w:start w:w="120" w:type="dxa"/>
              <w:bottom w:w="85" w:type="dxa"/>
              <w:end w:w="120" w:type="dxa"/>
            </w:tcMar>
            <w:vAlign w:val="center"/>
          </w:tcPr>
          <w:p>
            <w:pPr>
              <w:jc w:val="left"/>
            </w:pPr>
            <w:r>
              <w:rPr>
                <w:sz w:val="18"/>
              </w:rPr>
              <w:t>Segment-length change</w:t>
            </w:r>
          </w:p>
        </w:tc>
        <w:tc>
          <w:tcPr>
            <w:tcW w:type="dxa" w:w="5160"/>
            <w:tcMar>
              <w:top w:w="85" w:type="dxa"/>
              <w:start w:w="120" w:type="dxa"/>
              <w:bottom w:w="85" w:type="dxa"/>
              <w:end w:w="120" w:type="dxa"/>
            </w:tcMar>
            <w:vAlign w:val="center"/>
          </w:tcPr>
          <w:p>
            <w:pPr>
              <w:jc w:val="center"/>
            </w:pPr>
            <w:r>
              <w:rPr>
                <w:sz w:val="18"/>
              </w:rPr>
              <w:t>0 mm</w:t>
            </w:r>
          </w:p>
        </w:tc>
      </w:tr>
      <w:tr>
        <w:trPr>
          <w:cantSplit/>
        </w:trPr>
        <w:tc>
          <w:tcPr>
            <w:tcW w:type="dxa" w:w="4200"/>
            <w:tcMar>
              <w:top w:w="85" w:type="dxa"/>
              <w:start w:w="120" w:type="dxa"/>
              <w:bottom w:w="85" w:type="dxa"/>
              <w:end w:w="120" w:type="dxa"/>
            </w:tcMar>
            <w:vAlign w:val="center"/>
          </w:tcPr>
          <w:p>
            <w:pPr>
              <w:jc w:val="left"/>
            </w:pPr>
            <w:r>
              <w:rPr>
                <w:sz w:val="18"/>
              </w:rPr>
              <w:t>Population outputs</w:t>
            </w:r>
          </w:p>
        </w:tc>
        <w:tc>
          <w:tcPr>
            <w:tcW w:type="dxa" w:w="5160"/>
            <w:tcMar>
              <w:top w:w="85" w:type="dxa"/>
              <w:start w:w="120" w:type="dxa"/>
              <w:bottom w:w="85" w:type="dxa"/>
              <w:end w:w="120" w:type="dxa"/>
            </w:tcMar>
            <w:vAlign w:val="center"/>
          </w:tcPr>
          <w:p>
            <w:pPr>
              <w:jc w:val="left"/>
            </w:pPr>
            <w:r>
              <w:rPr>
                <w:sz w:val="18"/>
              </w:rPr>
              <w:t>Ellipse a/b/tilt, circular landmark theta/extents, plane angle, fit and residual statistics</w:t>
            </w:r>
          </w:p>
        </w:tc>
      </w:tr>
    </w:tbl>
    <w:p>
      <w:pPr>
        <w:spacing w:after="0"/>
      </w:pPr>
    </w:p>
    <w:p>
      <w:pPr>
        <w:keepNext/>
        <w:jc w:val="center"/>
      </w:pPr>
      <w:r>
        <w:drawing>
          <wp:inline xmlns:a="http://schemas.openxmlformats.org/drawingml/2006/main" xmlns:pic="http://schemas.openxmlformats.org/drawingml/2006/picture">
            <wp:extent cx="5806440" cy="2099054"/>
            <wp:docPr id="1" name="Picture 1" title="RAW 191-case partial-arc ellipse measurements. Full fitted ellipse axes describe incomplete-arc reference fits; they are not direct physical heart diameters or final generator scaffold axes." descr="RAW 191-case partial-arc ellipse measurements. Full fitted ellipse axes describe incomplete-arc reference fits; they are not direct physical heart diameters or final generator scaffold axes."/>
            <wp:cNvGraphicFramePr>
              <a:graphicFrameLocks noChangeAspect="1"/>
            </wp:cNvGraphicFramePr>
            <a:graphic>
              <a:graphicData uri="http://schemas.openxmlformats.org/drawingml/2006/picture">
                <pic:pic>
                  <pic:nvPicPr>
                    <pic:cNvPr id="0" name="02_ppt_two_plane_two_ellipse_summary.png"/>
                    <pic:cNvPicPr/>
                  </pic:nvPicPr>
                  <pic:blipFill>
                    <a:blip r:embed="rId11"/>
                    <a:stretch>
                      <a:fillRect/>
                    </a:stretch>
                  </pic:blipFill>
                  <pic:spPr>
                    <a:xfrm>
                      <a:off x="0" y="0"/>
                      <a:ext cx="5806440" cy="2099054"/>
                    </a:xfrm>
                    <a:prstGeom prst="rect"/>
                  </pic:spPr>
                </pic:pic>
              </a:graphicData>
            </a:graphic>
          </wp:inline>
        </w:drawing>
      </w:r>
    </w:p>
    <w:p>
      <w:pPr>
        <w:pStyle w:val="Caption"/>
        <w:keepNext w:val="0"/>
        <w:jc w:val="center"/>
      </w:pPr>
      <w:r>
        <w:rPr>
          <w:i/>
        </w:rPr>
        <w:t>RAW 191-case partial-arc ellipse measurements. Full fitted ellipse axes describe incomplete-arc reference fits; they are not direct physical heart diameters or final generator scaffold axes.</w:t>
      </w:r>
    </w:p>
    <w:p>
      <w:pPr>
        <w:pStyle w:val="Heading1"/>
        <w:pageBreakBefore/>
      </w:pPr>
      <w:r>
        <w:t>5. Statistical shape model and training population</w:t>
      </w:r>
    </w:p>
    <w:tbl>
      <w:tblPr>
        <w:tblStyle w:val="TableGrid"/>
        <w:tblW w:type="dxa" w:w="9360"/>
        <w:tblLayout w:type="fixed"/>
        <w:tblLook w:firstColumn="1" w:firstRow="1" w:lastColumn="0" w:lastRow="0" w:noHBand="0" w:noVBand="1" w:val="04A0"/>
        <w:jc w:val="left"/>
        <w:tblInd w:w="0" w:type="dxa"/>
      </w:tblPr>
      <w:tblGrid>
        <w:gridCol w:w="4300"/>
        <w:gridCol w:w="5060"/>
      </w:tblGrid>
      <w:tr>
        <w:trPr>
          <w:cantSplit/>
          <w:tblHeader w:val="true"/>
          <w:cantSplit/>
        </w:trPr>
        <w:tc>
          <w:tcPr>
            <w:tcW w:type="dxa" w:w="4300"/>
            <w:tcMar>
              <w:top w:w="85" w:type="dxa"/>
              <w:start w:w="120" w:type="dxa"/>
              <w:bottom w:w="85" w:type="dxa"/>
              <w:end w:w="120" w:type="dxa"/>
            </w:tcMar>
            <w:vAlign w:val="center"/>
            <w:shd w:fill="EAF2FB"/>
          </w:tcPr>
          <w:p>
            <w:pPr>
              <w:jc w:val="center"/>
            </w:pPr>
            <w:r>
              <w:rPr>
                <w:b/>
                <w:sz w:val="18"/>
              </w:rPr>
              <w:t>Model item</w:t>
            </w:r>
          </w:p>
        </w:tc>
        <w:tc>
          <w:tcPr>
            <w:tcW w:type="dxa" w:w="5060"/>
            <w:tcMar>
              <w:top w:w="85" w:type="dxa"/>
              <w:start w:w="120" w:type="dxa"/>
              <w:bottom w:w="85" w:type="dxa"/>
              <w:end w:w="120" w:type="dxa"/>
            </w:tcMar>
            <w:vAlign w:val="center"/>
            <w:shd w:fill="EAF2FB"/>
          </w:tcPr>
          <w:p>
            <w:pPr>
              <w:jc w:val="center"/>
            </w:pPr>
            <w:r>
              <w:rPr>
                <w:b/>
                <w:sz w:val="18"/>
              </w:rPr>
              <w:t>Final value</w:t>
            </w:r>
          </w:p>
        </w:tc>
      </w:tr>
      <w:tr>
        <w:trPr>
          <w:cantSplit/>
        </w:trPr>
        <w:tc>
          <w:tcPr>
            <w:tcW w:type="dxa" w:w="4300"/>
            <w:tcMar>
              <w:top w:w="85" w:type="dxa"/>
              <w:start w:w="120" w:type="dxa"/>
              <w:bottom w:w="85" w:type="dxa"/>
              <w:end w:w="120" w:type="dxa"/>
            </w:tcMar>
            <w:vAlign w:val="center"/>
          </w:tcPr>
          <w:p>
            <w:pPr>
              <w:jc w:val="left"/>
            </w:pPr>
            <w:r>
              <w:rPr>
                <w:sz w:val="18"/>
              </w:rPr>
              <w:t>Branch order</w:t>
            </w:r>
          </w:p>
        </w:tc>
        <w:tc>
          <w:tcPr>
            <w:tcW w:type="dxa" w:w="5060"/>
            <w:tcMar>
              <w:top w:w="85" w:type="dxa"/>
              <w:start w:w="120" w:type="dxa"/>
              <w:bottom w:w="85" w:type="dxa"/>
              <w:end w:w="120" w:type="dxa"/>
            </w:tcMar>
            <w:vAlign w:val="center"/>
          </w:tcPr>
          <w:p>
            <w:pPr>
              <w:jc w:val="center"/>
            </w:pPr>
            <w:r>
              <w:rPr>
                <w:sz w:val="18"/>
              </w:rPr>
              <w:t>LMCA, LAD, LCX</w:t>
            </w:r>
          </w:p>
        </w:tc>
      </w:tr>
      <w:tr>
        <w:trPr>
          <w:cantSplit/>
        </w:trPr>
        <w:tc>
          <w:tcPr>
            <w:tcW w:type="dxa" w:w="4300"/>
            <w:tcMar>
              <w:top w:w="85" w:type="dxa"/>
              <w:start w:w="120" w:type="dxa"/>
              <w:bottom w:w="85" w:type="dxa"/>
              <w:end w:w="120" w:type="dxa"/>
            </w:tcMar>
            <w:vAlign w:val="center"/>
          </w:tcPr>
          <w:p>
            <w:pPr>
              <w:jc w:val="left"/>
            </w:pPr>
            <w:r>
              <w:rPr>
                <w:sz w:val="18"/>
              </w:rPr>
              <w:t>Fixed samples</w:t>
            </w:r>
          </w:p>
        </w:tc>
        <w:tc>
          <w:tcPr>
            <w:tcW w:type="dxa" w:w="5060"/>
            <w:tcMar>
              <w:top w:w="85" w:type="dxa"/>
              <w:start w:w="120" w:type="dxa"/>
              <w:bottom w:w="85" w:type="dxa"/>
              <w:end w:w="120" w:type="dxa"/>
            </w:tcMar>
            <w:vAlign w:val="center"/>
          </w:tcPr>
          <w:p>
            <w:pPr>
              <w:jc w:val="center"/>
            </w:pPr>
            <w:r>
              <w:rPr>
                <w:sz w:val="18"/>
              </w:rPr>
              <w:t>LMCA 5; LAD 12; LCX 10</w:t>
            </w:r>
          </w:p>
        </w:tc>
      </w:tr>
      <w:tr>
        <w:trPr>
          <w:cantSplit/>
        </w:trPr>
        <w:tc>
          <w:tcPr>
            <w:tcW w:type="dxa" w:w="4300"/>
            <w:tcMar>
              <w:top w:w="85" w:type="dxa"/>
              <w:start w:w="120" w:type="dxa"/>
              <w:bottom w:w="85" w:type="dxa"/>
              <w:end w:w="120" w:type="dxa"/>
            </w:tcMar>
            <w:vAlign w:val="center"/>
          </w:tcPr>
          <w:p>
            <w:pPr>
              <w:jc w:val="left"/>
            </w:pPr>
            <w:r>
              <w:rPr>
                <w:sz w:val="18"/>
              </w:rPr>
              <w:t>Feature dimension</w:t>
            </w:r>
          </w:p>
        </w:tc>
        <w:tc>
          <w:tcPr>
            <w:tcW w:type="dxa" w:w="5060"/>
            <w:tcMar>
              <w:top w:w="85" w:type="dxa"/>
              <w:start w:w="120" w:type="dxa"/>
              <w:bottom w:w="85" w:type="dxa"/>
              <w:end w:w="120" w:type="dxa"/>
            </w:tcMar>
            <w:vAlign w:val="center"/>
          </w:tcPr>
          <w:p>
            <w:pPr>
              <w:jc w:val="center"/>
            </w:pPr>
            <w:r>
              <w:rPr>
                <w:sz w:val="18"/>
              </w:rPr>
              <w:t>27 points x 3 = 81</w:t>
            </w:r>
          </w:p>
        </w:tc>
      </w:tr>
      <w:tr>
        <w:trPr>
          <w:cantSplit/>
        </w:trPr>
        <w:tc>
          <w:tcPr>
            <w:tcW w:type="dxa" w:w="4300"/>
            <w:tcMar>
              <w:top w:w="85" w:type="dxa"/>
              <w:start w:w="120" w:type="dxa"/>
              <w:bottom w:w="85" w:type="dxa"/>
              <w:end w:w="120" w:type="dxa"/>
            </w:tcMar>
            <w:vAlign w:val="center"/>
          </w:tcPr>
          <w:p>
            <w:pPr>
              <w:jc w:val="left"/>
            </w:pPr>
            <w:r>
              <w:rPr>
                <w:sz w:val="18"/>
              </w:rPr>
              <w:t>Training cases</w:t>
            </w:r>
          </w:p>
        </w:tc>
        <w:tc>
          <w:tcPr>
            <w:tcW w:type="dxa" w:w="5060"/>
            <w:tcMar>
              <w:top w:w="85" w:type="dxa"/>
              <w:start w:w="120" w:type="dxa"/>
              <w:bottom w:w="85" w:type="dxa"/>
              <w:end w:w="120" w:type="dxa"/>
            </w:tcMar>
            <w:vAlign w:val="center"/>
          </w:tcPr>
          <w:p>
            <w:pPr>
              <w:jc w:val="center"/>
            </w:pPr>
            <w:r>
              <w:rPr>
                <w:sz w:val="18"/>
              </w:rPr>
              <w:t>52</w:t>
            </w:r>
          </w:p>
        </w:tc>
      </w:tr>
      <w:tr>
        <w:trPr>
          <w:cantSplit/>
        </w:trPr>
        <w:tc>
          <w:tcPr>
            <w:tcW w:type="dxa" w:w="4300"/>
            <w:tcMar>
              <w:top w:w="85" w:type="dxa"/>
              <w:start w:w="120" w:type="dxa"/>
              <w:bottom w:w="85" w:type="dxa"/>
              <w:end w:w="120" w:type="dxa"/>
            </w:tcMar>
            <w:vAlign w:val="center"/>
          </w:tcPr>
          <w:p>
            <w:pPr>
              <w:jc w:val="left"/>
            </w:pPr>
            <w:r>
              <w:rPr>
                <w:sz w:val="18"/>
              </w:rPr>
              <w:t>Retained modes</w:t>
            </w:r>
          </w:p>
        </w:tc>
        <w:tc>
          <w:tcPr>
            <w:tcW w:type="dxa" w:w="5060"/>
            <w:tcMar>
              <w:top w:w="85" w:type="dxa"/>
              <w:start w:w="120" w:type="dxa"/>
              <w:bottom w:w="85" w:type="dxa"/>
              <w:end w:w="120" w:type="dxa"/>
            </w:tcMar>
            <w:vAlign w:val="center"/>
          </w:tcPr>
          <w:p>
            <w:pPr>
              <w:jc w:val="center"/>
            </w:pPr>
            <w:r>
              <w:rPr>
                <w:sz w:val="18"/>
              </w:rPr>
              <w:t>13</w:t>
            </w:r>
          </w:p>
        </w:tc>
      </w:tr>
      <w:tr>
        <w:trPr>
          <w:cantSplit/>
        </w:trPr>
        <w:tc>
          <w:tcPr>
            <w:tcW w:type="dxa" w:w="4300"/>
            <w:tcMar>
              <w:top w:w="85" w:type="dxa"/>
              <w:start w:w="120" w:type="dxa"/>
              <w:bottom w:w="85" w:type="dxa"/>
              <w:end w:w="120" w:type="dxa"/>
            </w:tcMar>
            <w:vAlign w:val="center"/>
          </w:tcPr>
          <w:p>
            <w:pPr>
              <w:jc w:val="left"/>
            </w:pPr>
            <w:r>
              <w:rPr>
                <w:sz w:val="18"/>
              </w:rPr>
              <w:t>Variance cutoff</w:t>
            </w:r>
          </w:p>
        </w:tc>
        <w:tc>
          <w:tcPr>
            <w:tcW w:type="dxa" w:w="5060"/>
            <w:tcMar>
              <w:top w:w="85" w:type="dxa"/>
              <w:start w:w="120" w:type="dxa"/>
              <w:bottom w:w="85" w:type="dxa"/>
              <w:end w:w="120" w:type="dxa"/>
            </w:tcMar>
            <w:vAlign w:val="center"/>
          </w:tcPr>
          <w:p>
            <w:pPr>
              <w:jc w:val="center"/>
            </w:pPr>
            <w:r>
              <w:rPr>
                <w:sz w:val="18"/>
              </w:rPr>
              <w:t>95.0%</w:t>
            </w:r>
          </w:p>
        </w:tc>
      </w:tr>
      <w:tr>
        <w:trPr>
          <w:cantSplit/>
        </w:trPr>
        <w:tc>
          <w:tcPr>
            <w:tcW w:type="dxa" w:w="4300"/>
            <w:tcMar>
              <w:top w:w="85" w:type="dxa"/>
              <w:start w:w="120" w:type="dxa"/>
              <w:bottom w:w="85" w:type="dxa"/>
              <w:end w:w="120" w:type="dxa"/>
            </w:tcMar>
            <w:vAlign w:val="center"/>
          </w:tcPr>
          <w:p>
            <w:pPr>
              <w:jc w:val="left"/>
            </w:pPr>
            <w:r>
              <w:rPr>
                <w:sz w:val="18"/>
              </w:rPr>
              <w:t>Actual retained variance</w:t>
            </w:r>
          </w:p>
        </w:tc>
        <w:tc>
          <w:tcPr>
            <w:tcW w:type="dxa" w:w="5060"/>
            <w:tcMar>
              <w:top w:w="85" w:type="dxa"/>
              <w:start w:w="120" w:type="dxa"/>
              <w:bottom w:w="85" w:type="dxa"/>
              <w:end w:w="120" w:type="dxa"/>
            </w:tcMar>
            <w:vAlign w:val="center"/>
          </w:tcPr>
          <w:p>
            <w:pPr>
              <w:jc w:val="center"/>
            </w:pPr>
            <w:r>
              <w:rPr>
                <w:sz w:val="18"/>
              </w:rPr>
              <w:t>95.55%</w:t>
            </w:r>
          </w:p>
        </w:tc>
      </w:tr>
      <w:tr>
        <w:trPr>
          <w:cantSplit/>
        </w:trPr>
        <w:tc>
          <w:tcPr>
            <w:tcW w:type="dxa" w:w="4300"/>
            <w:tcMar>
              <w:top w:w="85" w:type="dxa"/>
              <w:start w:w="120" w:type="dxa"/>
              <w:bottom w:w="85" w:type="dxa"/>
              <w:end w:w="120" w:type="dxa"/>
            </w:tcMar>
            <w:vAlign w:val="center"/>
          </w:tcPr>
          <w:p>
            <w:pPr>
              <w:jc w:val="left"/>
            </w:pPr>
            <w:r>
              <w:rPr>
                <w:sz w:val="18"/>
              </w:rPr>
              <w:t>Maximum mathematical rank</w:t>
            </w:r>
          </w:p>
        </w:tc>
        <w:tc>
          <w:tcPr>
            <w:tcW w:type="dxa" w:w="5060"/>
            <w:tcMar>
              <w:top w:w="85" w:type="dxa"/>
              <w:start w:w="120" w:type="dxa"/>
              <w:bottom w:w="85" w:type="dxa"/>
              <w:end w:w="120" w:type="dxa"/>
            </w:tcMar>
            <w:vAlign w:val="center"/>
          </w:tcPr>
          <w:p>
            <w:pPr>
              <w:jc w:val="left"/>
            </w:pPr>
            <w:r>
              <w:rPr>
                <w:sz w:val="18"/>
              </w:rPr>
              <w:t>51 for 52 centered observations</w:t>
            </w:r>
          </w:p>
        </w:tc>
      </w:tr>
    </w:tbl>
    <w:p>
      <w:pPr>
        <w:spacing w:after="0"/>
      </w:pPr>
    </w:p>
    <w:tbl>
      <w:tblPr>
        <w:tblStyle w:val="TableGrid"/>
        <w:tblW w:type="dxa" w:w="9360"/>
        <w:tblLayout w:type="fixed"/>
        <w:tblLook w:firstColumn="1" w:firstRow="1" w:lastColumn="0" w:lastRow="0" w:noHBand="0" w:noVBand="1" w:val="04A0"/>
        <w:jc w:val="left"/>
        <w:tblInd w:w="0" w:type="dxa"/>
      </w:tblPr>
      <w:tblGrid>
        <w:gridCol w:w="1300"/>
        <w:gridCol w:w="2500"/>
        <w:gridCol w:w="2600"/>
        <w:gridCol w:w="2960"/>
      </w:tblGrid>
      <w:tr>
        <w:trPr>
          <w:cantSplit/>
          <w:tblHeader w:val="true"/>
          <w:cantSplit/>
        </w:trPr>
        <w:tc>
          <w:tcPr>
            <w:tcW w:type="dxa" w:w="1300"/>
            <w:tcMar>
              <w:top w:w="85" w:type="dxa"/>
              <w:start w:w="120" w:type="dxa"/>
              <w:bottom w:w="85" w:type="dxa"/>
              <w:end w:w="120" w:type="dxa"/>
            </w:tcMar>
            <w:vAlign w:val="center"/>
            <w:shd w:fill="EAF2FB"/>
          </w:tcPr>
          <w:p>
            <w:pPr>
              <w:jc w:val="center"/>
            </w:pPr>
            <w:r>
              <w:rPr>
                <w:b/>
                <w:sz w:val="18"/>
              </w:rPr>
              <w:t>Mode</w:t>
            </w:r>
          </w:p>
        </w:tc>
        <w:tc>
          <w:tcPr>
            <w:tcW w:type="dxa" w:w="2500"/>
            <w:tcMar>
              <w:top w:w="85" w:type="dxa"/>
              <w:start w:w="120" w:type="dxa"/>
              <w:bottom w:w="85" w:type="dxa"/>
              <w:end w:w="120" w:type="dxa"/>
            </w:tcMar>
            <w:vAlign w:val="center"/>
            <w:shd w:fill="EAF2FB"/>
          </w:tcPr>
          <w:p>
            <w:pPr>
              <w:jc w:val="center"/>
            </w:pPr>
            <w:r>
              <w:rPr>
                <w:b/>
                <w:sz w:val="18"/>
              </w:rPr>
              <w:t>Variance</w:t>
            </w:r>
          </w:p>
        </w:tc>
        <w:tc>
          <w:tcPr>
            <w:tcW w:type="dxa" w:w="2600"/>
            <w:tcMar>
              <w:top w:w="85" w:type="dxa"/>
              <w:start w:w="120" w:type="dxa"/>
              <w:bottom w:w="85" w:type="dxa"/>
              <w:end w:w="120" w:type="dxa"/>
            </w:tcMar>
            <w:vAlign w:val="center"/>
            <w:shd w:fill="EAF2FB"/>
          </w:tcPr>
          <w:p>
            <w:pPr>
              <w:jc w:val="center"/>
            </w:pPr>
            <w:r>
              <w:rPr>
                <w:b/>
                <w:sz w:val="18"/>
              </w:rPr>
              <w:t>Cumulative</w:t>
            </w:r>
          </w:p>
        </w:tc>
        <w:tc>
          <w:tcPr>
            <w:tcW w:type="dxa" w:w="2960"/>
            <w:tcMar>
              <w:top w:w="85" w:type="dxa"/>
              <w:start w:w="120" w:type="dxa"/>
              <w:bottom w:w="85" w:type="dxa"/>
              <w:end w:w="120" w:type="dxa"/>
            </w:tcMar>
            <w:vAlign w:val="center"/>
            <w:shd w:fill="EAF2FB"/>
          </w:tcPr>
          <w:p>
            <w:pPr>
              <w:jc w:val="center"/>
            </w:pPr>
            <w:r>
              <w:rPr>
                <w:b/>
                <w:sz w:val="18"/>
              </w:rPr>
              <w:t>Coefficient SD</w:t>
            </w:r>
          </w:p>
        </w:tc>
      </w:tr>
      <w:tr>
        <w:trPr>
          <w:cantSplit/>
        </w:trPr>
        <w:tc>
          <w:tcPr>
            <w:tcW w:type="dxa" w:w="1300"/>
            <w:tcMar>
              <w:top w:w="85" w:type="dxa"/>
              <w:start w:w="120" w:type="dxa"/>
              <w:bottom w:w="85" w:type="dxa"/>
              <w:end w:w="120" w:type="dxa"/>
            </w:tcMar>
            <w:vAlign w:val="center"/>
          </w:tcPr>
          <w:p>
            <w:pPr>
              <w:jc w:val="left"/>
            </w:pPr>
            <w:r>
              <w:rPr>
                <w:sz w:val="18"/>
              </w:rPr>
              <w:t>1</w:t>
            </w:r>
          </w:p>
        </w:tc>
        <w:tc>
          <w:tcPr>
            <w:tcW w:type="dxa" w:w="2500"/>
            <w:tcMar>
              <w:top w:w="85" w:type="dxa"/>
              <w:start w:w="120" w:type="dxa"/>
              <w:bottom w:w="85" w:type="dxa"/>
              <w:end w:w="120" w:type="dxa"/>
            </w:tcMar>
            <w:vAlign w:val="center"/>
          </w:tcPr>
          <w:p>
            <w:pPr>
              <w:jc w:val="center"/>
            </w:pPr>
            <w:r>
              <w:rPr>
                <w:sz w:val="18"/>
              </w:rPr>
              <w:t>42.470%</w:t>
            </w:r>
          </w:p>
        </w:tc>
        <w:tc>
          <w:tcPr>
            <w:tcW w:type="dxa" w:w="2600"/>
            <w:tcMar>
              <w:top w:w="85" w:type="dxa"/>
              <w:start w:w="120" w:type="dxa"/>
              <w:bottom w:w="85" w:type="dxa"/>
              <w:end w:w="120" w:type="dxa"/>
            </w:tcMar>
            <w:vAlign w:val="center"/>
          </w:tcPr>
          <w:p>
            <w:pPr>
              <w:jc w:val="center"/>
            </w:pPr>
            <w:r>
              <w:rPr>
                <w:sz w:val="18"/>
              </w:rPr>
              <w:t>42.470%</w:t>
            </w:r>
          </w:p>
        </w:tc>
        <w:tc>
          <w:tcPr>
            <w:tcW w:type="dxa" w:w="2960"/>
            <w:tcMar>
              <w:top w:w="85" w:type="dxa"/>
              <w:start w:w="120" w:type="dxa"/>
              <w:bottom w:w="85" w:type="dxa"/>
              <w:end w:w="120" w:type="dxa"/>
            </w:tcMar>
            <w:vAlign w:val="center"/>
          </w:tcPr>
          <w:p>
            <w:pPr>
              <w:jc w:val="center"/>
            </w:pPr>
            <w:r>
              <w:rPr>
                <w:sz w:val="18"/>
              </w:rPr>
              <w:t>48.216</w:t>
            </w:r>
          </w:p>
        </w:tc>
      </w:tr>
      <w:tr>
        <w:trPr>
          <w:cantSplit/>
        </w:trPr>
        <w:tc>
          <w:tcPr>
            <w:tcW w:type="dxa" w:w="1300"/>
            <w:tcMar>
              <w:top w:w="85" w:type="dxa"/>
              <w:start w:w="120" w:type="dxa"/>
              <w:bottom w:w="85" w:type="dxa"/>
              <w:end w:w="120" w:type="dxa"/>
            </w:tcMar>
            <w:vAlign w:val="center"/>
          </w:tcPr>
          <w:p>
            <w:pPr>
              <w:jc w:val="left"/>
            </w:pPr>
            <w:r>
              <w:rPr>
                <w:sz w:val="18"/>
              </w:rPr>
              <w:t>2</w:t>
            </w:r>
          </w:p>
        </w:tc>
        <w:tc>
          <w:tcPr>
            <w:tcW w:type="dxa" w:w="2500"/>
            <w:tcMar>
              <w:top w:w="85" w:type="dxa"/>
              <w:start w:w="120" w:type="dxa"/>
              <w:bottom w:w="85" w:type="dxa"/>
              <w:end w:w="120" w:type="dxa"/>
            </w:tcMar>
            <w:vAlign w:val="center"/>
          </w:tcPr>
          <w:p>
            <w:pPr>
              <w:jc w:val="center"/>
            </w:pPr>
            <w:r>
              <w:rPr>
                <w:sz w:val="18"/>
              </w:rPr>
              <w:t>16.567%</w:t>
            </w:r>
          </w:p>
        </w:tc>
        <w:tc>
          <w:tcPr>
            <w:tcW w:type="dxa" w:w="2600"/>
            <w:tcMar>
              <w:top w:w="85" w:type="dxa"/>
              <w:start w:w="120" w:type="dxa"/>
              <w:bottom w:w="85" w:type="dxa"/>
              <w:end w:w="120" w:type="dxa"/>
            </w:tcMar>
            <w:vAlign w:val="center"/>
          </w:tcPr>
          <w:p>
            <w:pPr>
              <w:jc w:val="center"/>
            </w:pPr>
            <w:r>
              <w:rPr>
                <w:sz w:val="18"/>
              </w:rPr>
              <w:t>59.037%</w:t>
            </w:r>
          </w:p>
        </w:tc>
        <w:tc>
          <w:tcPr>
            <w:tcW w:type="dxa" w:w="2960"/>
            <w:tcMar>
              <w:top w:w="85" w:type="dxa"/>
              <w:start w:w="120" w:type="dxa"/>
              <w:bottom w:w="85" w:type="dxa"/>
              <w:end w:w="120" w:type="dxa"/>
            </w:tcMar>
            <w:vAlign w:val="center"/>
          </w:tcPr>
          <w:p>
            <w:pPr>
              <w:jc w:val="center"/>
            </w:pPr>
            <w:r>
              <w:rPr>
                <w:sz w:val="18"/>
              </w:rPr>
              <w:t>30.114</w:t>
            </w:r>
          </w:p>
        </w:tc>
      </w:tr>
      <w:tr>
        <w:trPr>
          <w:cantSplit/>
        </w:trPr>
        <w:tc>
          <w:tcPr>
            <w:tcW w:type="dxa" w:w="1300"/>
            <w:tcMar>
              <w:top w:w="85" w:type="dxa"/>
              <w:start w:w="120" w:type="dxa"/>
              <w:bottom w:w="85" w:type="dxa"/>
              <w:end w:w="120" w:type="dxa"/>
            </w:tcMar>
            <w:vAlign w:val="center"/>
          </w:tcPr>
          <w:p>
            <w:pPr>
              <w:jc w:val="left"/>
            </w:pPr>
            <w:r>
              <w:rPr>
                <w:sz w:val="18"/>
              </w:rPr>
              <w:t>3</w:t>
            </w:r>
          </w:p>
        </w:tc>
        <w:tc>
          <w:tcPr>
            <w:tcW w:type="dxa" w:w="2500"/>
            <w:tcMar>
              <w:top w:w="85" w:type="dxa"/>
              <w:start w:w="120" w:type="dxa"/>
              <w:bottom w:w="85" w:type="dxa"/>
              <w:end w:w="120" w:type="dxa"/>
            </w:tcMar>
            <w:vAlign w:val="center"/>
          </w:tcPr>
          <w:p>
            <w:pPr>
              <w:jc w:val="center"/>
            </w:pPr>
            <w:r>
              <w:rPr>
                <w:sz w:val="18"/>
              </w:rPr>
              <w:t>9.395%</w:t>
            </w:r>
          </w:p>
        </w:tc>
        <w:tc>
          <w:tcPr>
            <w:tcW w:type="dxa" w:w="2600"/>
            <w:tcMar>
              <w:top w:w="85" w:type="dxa"/>
              <w:start w:w="120" w:type="dxa"/>
              <w:bottom w:w="85" w:type="dxa"/>
              <w:end w:w="120" w:type="dxa"/>
            </w:tcMar>
            <w:vAlign w:val="center"/>
          </w:tcPr>
          <w:p>
            <w:pPr>
              <w:jc w:val="center"/>
            </w:pPr>
            <w:r>
              <w:rPr>
                <w:sz w:val="18"/>
              </w:rPr>
              <w:t>68.432%</w:t>
            </w:r>
          </w:p>
        </w:tc>
        <w:tc>
          <w:tcPr>
            <w:tcW w:type="dxa" w:w="2960"/>
            <w:tcMar>
              <w:top w:w="85" w:type="dxa"/>
              <w:start w:w="120" w:type="dxa"/>
              <w:bottom w:w="85" w:type="dxa"/>
              <w:end w:w="120" w:type="dxa"/>
            </w:tcMar>
            <w:vAlign w:val="center"/>
          </w:tcPr>
          <w:p>
            <w:pPr>
              <w:jc w:val="center"/>
            </w:pPr>
            <w:r>
              <w:rPr>
                <w:sz w:val="18"/>
              </w:rPr>
              <w:t>22.678</w:t>
            </w:r>
          </w:p>
        </w:tc>
      </w:tr>
      <w:tr>
        <w:trPr>
          <w:cantSplit/>
        </w:trPr>
        <w:tc>
          <w:tcPr>
            <w:tcW w:type="dxa" w:w="1300"/>
            <w:tcMar>
              <w:top w:w="85" w:type="dxa"/>
              <w:start w:w="120" w:type="dxa"/>
              <w:bottom w:w="85" w:type="dxa"/>
              <w:end w:w="120" w:type="dxa"/>
            </w:tcMar>
            <w:vAlign w:val="center"/>
          </w:tcPr>
          <w:p>
            <w:pPr>
              <w:jc w:val="left"/>
            </w:pPr>
            <w:r>
              <w:rPr>
                <w:sz w:val="18"/>
              </w:rPr>
              <w:t>4</w:t>
            </w:r>
          </w:p>
        </w:tc>
        <w:tc>
          <w:tcPr>
            <w:tcW w:type="dxa" w:w="2500"/>
            <w:tcMar>
              <w:top w:w="85" w:type="dxa"/>
              <w:start w:w="120" w:type="dxa"/>
              <w:bottom w:w="85" w:type="dxa"/>
              <w:end w:w="120" w:type="dxa"/>
            </w:tcMar>
            <w:vAlign w:val="center"/>
          </w:tcPr>
          <w:p>
            <w:pPr>
              <w:jc w:val="center"/>
            </w:pPr>
            <w:r>
              <w:rPr>
                <w:sz w:val="18"/>
              </w:rPr>
              <w:t>7.813%</w:t>
            </w:r>
          </w:p>
        </w:tc>
        <w:tc>
          <w:tcPr>
            <w:tcW w:type="dxa" w:w="2600"/>
            <w:tcMar>
              <w:top w:w="85" w:type="dxa"/>
              <w:start w:w="120" w:type="dxa"/>
              <w:bottom w:w="85" w:type="dxa"/>
              <w:end w:w="120" w:type="dxa"/>
            </w:tcMar>
            <w:vAlign w:val="center"/>
          </w:tcPr>
          <w:p>
            <w:pPr>
              <w:jc w:val="center"/>
            </w:pPr>
            <w:r>
              <w:rPr>
                <w:sz w:val="18"/>
              </w:rPr>
              <w:t>76.244%</w:t>
            </w:r>
          </w:p>
        </w:tc>
        <w:tc>
          <w:tcPr>
            <w:tcW w:type="dxa" w:w="2960"/>
            <w:tcMar>
              <w:top w:w="85" w:type="dxa"/>
              <w:start w:w="120" w:type="dxa"/>
              <w:bottom w:w="85" w:type="dxa"/>
              <w:end w:w="120" w:type="dxa"/>
            </w:tcMar>
            <w:vAlign w:val="center"/>
          </w:tcPr>
          <w:p>
            <w:pPr>
              <w:jc w:val="center"/>
            </w:pPr>
            <w:r>
              <w:rPr>
                <w:sz w:val="18"/>
              </w:rPr>
              <w:t>20.680</w:t>
            </w:r>
          </w:p>
        </w:tc>
      </w:tr>
      <w:tr>
        <w:trPr>
          <w:cantSplit/>
        </w:trPr>
        <w:tc>
          <w:tcPr>
            <w:tcW w:type="dxa" w:w="1300"/>
            <w:tcMar>
              <w:top w:w="85" w:type="dxa"/>
              <w:start w:w="120" w:type="dxa"/>
              <w:bottom w:w="85" w:type="dxa"/>
              <w:end w:w="120" w:type="dxa"/>
            </w:tcMar>
            <w:vAlign w:val="center"/>
          </w:tcPr>
          <w:p>
            <w:pPr>
              <w:jc w:val="left"/>
            </w:pPr>
            <w:r>
              <w:rPr>
                <w:sz w:val="18"/>
              </w:rPr>
              <w:t>5</w:t>
            </w:r>
          </w:p>
        </w:tc>
        <w:tc>
          <w:tcPr>
            <w:tcW w:type="dxa" w:w="2500"/>
            <w:tcMar>
              <w:top w:w="85" w:type="dxa"/>
              <w:start w:w="120" w:type="dxa"/>
              <w:bottom w:w="85" w:type="dxa"/>
              <w:end w:w="120" w:type="dxa"/>
            </w:tcMar>
            <w:vAlign w:val="center"/>
          </w:tcPr>
          <w:p>
            <w:pPr>
              <w:jc w:val="center"/>
            </w:pPr>
            <w:r>
              <w:rPr>
                <w:sz w:val="18"/>
              </w:rPr>
              <w:t>5.981%</w:t>
            </w:r>
          </w:p>
        </w:tc>
        <w:tc>
          <w:tcPr>
            <w:tcW w:type="dxa" w:w="2600"/>
            <w:tcMar>
              <w:top w:w="85" w:type="dxa"/>
              <w:start w:w="120" w:type="dxa"/>
              <w:bottom w:w="85" w:type="dxa"/>
              <w:end w:w="120" w:type="dxa"/>
            </w:tcMar>
            <w:vAlign w:val="center"/>
          </w:tcPr>
          <w:p>
            <w:pPr>
              <w:jc w:val="center"/>
            </w:pPr>
            <w:r>
              <w:rPr>
                <w:sz w:val="18"/>
              </w:rPr>
              <w:t>82.225%</w:t>
            </w:r>
          </w:p>
        </w:tc>
        <w:tc>
          <w:tcPr>
            <w:tcW w:type="dxa" w:w="2960"/>
            <w:tcMar>
              <w:top w:w="85" w:type="dxa"/>
              <w:start w:w="120" w:type="dxa"/>
              <w:bottom w:w="85" w:type="dxa"/>
              <w:end w:w="120" w:type="dxa"/>
            </w:tcMar>
            <w:vAlign w:val="center"/>
          </w:tcPr>
          <w:p>
            <w:pPr>
              <w:jc w:val="center"/>
            </w:pPr>
            <w:r>
              <w:rPr>
                <w:sz w:val="18"/>
              </w:rPr>
              <w:t>18.094</w:t>
            </w:r>
          </w:p>
        </w:tc>
      </w:tr>
      <w:tr>
        <w:trPr>
          <w:cantSplit/>
        </w:trPr>
        <w:tc>
          <w:tcPr>
            <w:tcW w:type="dxa" w:w="1300"/>
            <w:tcMar>
              <w:top w:w="85" w:type="dxa"/>
              <w:start w:w="120" w:type="dxa"/>
              <w:bottom w:w="85" w:type="dxa"/>
              <w:end w:w="120" w:type="dxa"/>
            </w:tcMar>
            <w:vAlign w:val="center"/>
          </w:tcPr>
          <w:p>
            <w:pPr>
              <w:jc w:val="left"/>
            </w:pPr>
            <w:r>
              <w:rPr>
                <w:sz w:val="18"/>
              </w:rPr>
              <w:t>6</w:t>
            </w:r>
          </w:p>
        </w:tc>
        <w:tc>
          <w:tcPr>
            <w:tcW w:type="dxa" w:w="2500"/>
            <w:tcMar>
              <w:top w:w="85" w:type="dxa"/>
              <w:start w:w="120" w:type="dxa"/>
              <w:bottom w:w="85" w:type="dxa"/>
              <w:end w:w="120" w:type="dxa"/>
            </w:tcMar>
            <w:vAlign w:val="center"/>
          </w:tcPr>
          <w:p>
            <w:pPr>
              <w:jc w:val="center"/>
            </w:pPr>
            <w:r>
              <w:rPr>
                <w:sz w:val="18"/>
              </w:rPr>
              <w:t>4.022%</w:t>
            </w:r>
          </w:p>
        </w:tc>
        <w:tc>
          <w:tcPr>
            <w:tcW w:type="dxa" w:w="2600"/>
            <w:tcMar>
              <w:top w:w="85" w:type="dxa"/>
              <w:start w:w="120" w:type="dxa"/>
              <w:bottom w:w="85" w:type="dxa"/>
              <w:end w:w="120" w:type="dxa"/>
            </w:tcMar>
            <w:vAlign w:val="center"/>
          </w:tcPr>
          <w:p>
            <w:pPr>
              <w:jc w:val="center"/>
            </w:pPr>
            <w:r>
              <w:rPr>
                <w:sz w:val="18"/>
              </w:rPr>
              <w:t>86.248%</w:t>
            </w:r>
          </w:p>
        </w:tc>
        <w:tc>
          <w:tcPr>
            <w:tcW w:type="dxa" w:w="2960"/>
            <w:tcMar>
              <w:top w:w="85" w:type="dxa"/>
              <w:start w:w="120" w:type="dxa"/>
              <w:bottom w:w="85" w:type="dxa"/>
              <w:end w:w="120" w:type="dxa"/>
            </w:tcMar>
            <w:vAlign w:val="center"/>
          </w:tcPr>
          <w:p>
            <w:pPr>
              <w:jc w:val="center"/>
            </w:pPr>
            <w:r>
              <w:rPr>
                <w:sz w:val="18"/>
              </w:rPr>
              <w:t>14.839</w:t>
            </w:r>
          </w:p>
        </w:tc>
      </w:tr>
      <w:tr>
        <w:trPr>
          <w:cantSplit/>
        </w:trPr>
        <w:tc>
          <w:tcPr>
            <w:tcW w:type="dxa" w:w="1300"/>
            <w:tcMar>
              <w:top w:w="85" w:type="dxa"/>
              <w:start w:w="120" w:type="dxa"/>
              <w:bottom w:w="85" w:type="dxa"/>
              <w:end w:w="120" w:type="dxa"/>
            </w:tcMar>
            <w:vAlign w:val="center"/>
          </w:tcPr>
          <w:p>
            <w:pPr>
              <w:jc w:val="left"/>
            </w:pPr>
            <w:r>
              <w:rPr>
                <w:sz w:val="18"/>
              </w:rPr>
              <w:t>7</w:t>
            </w:r>
          </w:p>
        </w:tc>
        <w:tc>
          <w:tcPr>
            <w:tcW w:type="dxa" w:w="2500"/>
            <w:tcMar>
              <w:top w:w="85" w:type="dxa"/>
              <w:start w:w="120" w:type="dxa"/>
              <w:bottom w:w="85" w:type="dxa"/>
              <w:end w:w="120" w:type="dxa"/>
            </w:tcMar>
            <w:vAlign w:val="center"/>
          </w:tcPr>
          <w:p>
            <w:pPr>
              <w:jc w:val="center"/>
            </w:pPr>
            <w:r>
              <w:rPr>
                <w:sz w:val="18"/>
              </w:rPr>
              <w:t>2.443%</w:t>
            </w:r>
          </w:p>
        </w:tc>
        <w:tc>
          <w:tcPr>
            <w:tcW w:type="dxa" w:w="2600"/>
            <w:tcMar>
              <w:top w:w="85" w:type="dxa"/>
              <w:start w:w="120" w:type="dxa"/>
              <w:bottom w:w="85" w:type="dxa"/>
              <w:end w:w="120" w:type="dxa"/>
            </w:tcMar>
            <w:vAlign w:val="center"/>
          </w:tcPr>
          <w:p>
            <w:pPr>
              <w:jc w:val="center"/>
            </w:pPr>
            <w:r>
              <w:rPr>
                <w:sz w:val="18"/>
              </w:rPr>
              <w:t>88.691%</w:t>
            </w:r>
          </w:p>
        </w:tc>
        <w:tc>
          <w:tcPr>
            <w:tcW w:type="dxa" w:w="2960"/>
            <w:tcMar>
              <w:top w:w="85" w:type="dxa"/>
              <w:start w:w="120" w:type="dxa"/>
              <w:bottom w:w="85" w:type="dxa"/>
              <w:end w:w="120" w:type="dxa"/>
            </w:tcMar>
            <w:vAlign w:val="center"/>
          </w:tcPr>
          <w:p>
            <w:pPr>
              <w:jc w:val="center"/>
            </w:pPr>
            <w:r>
              <w:rPr>
                <w:sz w:val="18"/>
              </w:rPr>
              <w:t>11.565</w:t>
            </w:r>
          </w:p>
        </w:tc>
      </w:tr>
      <w:tr>
        <w:trPr>
          <w:cantSplit/>
        </w:trPr>
        <w:tc>
          <w:tcPr>
            <w:tcW w:type="dxa" w:w="1300"/>
            <w:tcMar>
              <w:top w:w="85" w:type="dxa"/>
              <w:start w:w="120" w:type="dxa"/>
              <w:bottom w:w="85" w:type="dxa"/>
              <w:end w:w="120" w:type="dxa"/>
            </w:tcMar>
            <w:vAlign w:val="center"/>
          </w:tcPr>
          <w:p>
            <w:pPr>
              <w:jc w:val="left"/>
            </w:pPr>
            <w:r>
              <w:rPr>
                <w:sz w:val="18"/>
              </w:rPr>
              <w:t>8</w:t>
            </w:r>
          </w:p>
        </w:tc>
        <w:tc>
          <w:tcPr>
            <w:tcW w:type="dxa" w:w="2500"/>
            <w:tcMar>
              <w:top w:w="85" w:type="dxa"/>
              <w:start w:w="120" w:type="dxa"/>
              <w:bottom w:w="85" w:type="dxa"/>
              <w:end w:w="120" w:type="dxa"/>
            </w:tcMar>
            <w:vAlign w:val="center"/>
          </w:tcPr>
          <w:p>
            <w:pPr>
              <w:jc w:val="center"/>
            </w:pPr>
            <w:r>
              <w:rPr>
                <w:sz w:val="18"/>
              </w:rPr>
              <w:t>1.849%</w:t>
            </w:r>
          </w:p>
        </w:tc>
        <w:tc>
          <w:tcPr>
            <w:tcW w:type="dxa" w:w="2600"/>
            <w:tcMar>
              <w:top w:w="85" w:type="dxa"/>
              <w:start w:w="120" w:type="dxa"/>
              <w:bottom w:w="85" w:type="dxa"/>
              <w:end w:w="120" w:type="dxa"/>
            </w:tcMar>
            <w:vAlign w:val="center"/>
          </w:tcPr>
          <w:p>
            <w:pPr>
              <w:jc w:val="center"/>
            </w:pPr>
            <w:r>
              <w:rPr>
                <w:sz w:val="18"/>
              </w:rPr>
              <w:t>90.540%</w:t>
            </w:r>
          </w:p>
        </w:tc>
        <w:tc>
          <w:tcPr>
            <w:tcW w:type="dxa" w:w="2960"/>
            <w:tcMar>
              <w:top w:w="85" w:type="dxa"/>
              <w:start w:w="120" w:type="dxa"/>
              <w:bottom w:w="85" w:type="dxa"/>
              <w:end w:w="120" w:type="dxa"/>
            </w:tcMar>
            <w:vAlign w:val="center"/>
          </w:tcPr>
          <w:p>
            <w:pPr>
              <w:jc w:val="center"/>
            </w:pPr>
            <w:r>
              <w:rPr>
                <w:sz w:val="18"/>
              </w:rPr>
              <w:t>10.061</w:t>
            </w:r>
          </w:p>
        </w:tc>
      </w:tr>
      <w:tr>
        <w:trPr>
          <w:cantSplit/>
        </w:trPr>
        <w:tc>
          <w:tcPr>
            <w:tcW w:type="dxa" w:w="1300"/>
            <w:tcMar>
              <w:top w:w="85" w:type="dxa"/>
              <w:start w:w="120" w:type="dxa"/>
              <w:bottom w:w="85" w:type="dxa"/>
              <w:end w:w="120" w:type="dxa"/>
            </w:tcMar>
            <w:vAlign w:val="center"/>
          </w:tcPr>
          <w:p>
            <w:pPr>
              <w:jc w:val="left"/>
            </w:pPr>
            <w:r>
              <w:rPr>
                <w:sz w:val="18"/>
              </w:rPr>
              <w:t>9</w:t>
            </w:r>
          </w:p>
        </w:tc>
        <w:tc>
          <w:tcPr>
            <w:tcW w:type="dxa" w:w="2500"/>
            <w:tcMar>
              <w:top w:w="85" w:type="dxa"/>
              <w:start w:w="120" w:type="dxa"/>
              <w:bottom w:w="85" w:type="dxa"/>
              <w:end w:w="120" w:type="dxa"/>
            </w:tcMar>
            <w:vAlign w:val="center"/>
          </w:tcPr>
          <w:p>
            <w:pPr>
              <w:jc w:val="center"/>
            </w:pPr>
            <w:r>
              <w:rPr>
                <w:sz w:val="18"/>
              </w:rPr>
              <w:t>1.419%</w:t>
            </w:r>
          </w:p>
        </w:tc>
        <w:tc>
          <w:tcPr>
            <w:tcW w:type="dxa" w:w="2600"/>
            <w:tcMar>
              <w:top w:w="85" w:type="dxa"/>
              <w:start w:w="120" w:type="dxa"/>
              <w:bottom w:w="85" w:type="dxa"/>
              <w:end w:w="120" w:type="dxa"/>
            </w:tcMar>
            <w:vAlign w:val="center"/>
          </w:tcPr>
          <w:p>
            <w:pPr>
              <w:jc w:val="center"/>
            </w:pPr>
            <w:r>
              <w:rPr>
                <w:sz w:val="18"/>
              </w:rPr>
              <w:t>91.959%</w:t>
            </w:r>
          </w:p>
        </w:tc>
        <w:tc>
          <w:tcPr>
            <w:tcW w:type="dxa" w:w="2960"/>
            <w:tcMar>
              <w:top w:w="85" w:type="dxa"/>
              <w:start w:w="120" w:type="dxa"/>
              <w:bottom w:w="85" w:type="dxa"/>
              <w:end w:w="120" w:type="dxa"/>
            </w:tcMar>
            <w:vAlign w:val="center"/>
          </w:tcPr>
          <w:p>
            <w:pPr>
              <w:jc w:val="center"/>
            </w:pPr>
            <w:r>
              <w:rPr>
                <w:sz w:val="18"/>
              </w:rPr>
              <w:t>8.812</w:t>
            </w:r>
          </w:p>
        </w:tc>
      </w:tr>
      <w:tr>
        <w:trPr>
          <w:cantSplit/>
        </w:trPr>
        <w:tc>
          <w:tcPr>
            <w:tcW w:type="dxa" w:w="1300"/>
            <w:tcMar>
              <w:top w:w="85" w:type="dxa"/>
              <w:start w:w="120" w:type="dxa"/>
              <w:bottom w:w="85" w:type="dxa"/>
              <w:end w:w="120" w:type="dxa"/>
            </w:tcMar>
            <w:vAlign w:val="center"/>
          </w:tcPr>
          <w:p>
            <w:pPr>
              <w:jc w:val="left"/>
            </w:pPr>
            <w:r>
              <w:rPr>
                <w:sz w:val="18"/>
              </w:rPr>
              <w:t>10</w:t>
            </w:r>
          </w:p>
        </w:tc>
        <w:tc>
          <w:tcPr>
            <w:tcW w:type="dxa" w:w="2500"/>
            <w:tcMar>
              <w:top w:w="85" w:type="dxa"/>
              <w:start w:w="120" w:type="dxa"/>
              <w:bottom w:w="85" w:type="dxa"/>
              <w:end w:w="120" w:type="dxa"/>
            </w:tcMar>
            <w:vAlign w:val="center"/>
          </w:tcPr>
          <w:p>
            <w:pPr>
              <w:jc w:val="center"/>
            </w:pPr>
            <w:r>
              <w:rPr>
                <w:sz w:val="18"/>
              </w:rPr>
              <w:t>1.207%</w:t>
            </w:r>
          </w:p>
        </w:tc>
        <w:tc>
          <w:tcPr>
            <w:tcW w:type="dxa" w:w="2600"/>
            <w:tcMar>
              <w:top w:w="85" w:type="dxa"/>
              <w:start w:w="120" w:type="dxa"/>
              <w:bottom w:w="85" w:type="dxa"/>
              <w:end w:w="120" w:type="dxa"/>
            </w:tcMar>
            <w:vAlign w:val="center"/>
          </w:tcPr>
          <w:p>
            <w:pPr>
              <w:jc w:val="center"/>
            </w:pPr>
            <w:r>
              <w:rPr>
                <w:sz w:val="18"/>
              </w:rPr>
              <w:t>93.165%</w:t>
            </w:r>
          </w:p>
        </w:tc>
        <w:tc>
          <w:tcPr>
            <w:tcW w:type="dxa" w:w="2960"/>
            <w:tcMar>
              <w:top w:w="85" w:type="dxa"/>
              <w:start w:w="120" w:type="dxa"/>
              <w:bottom w:w="85" w:type="dxa"/>
              <w:end w:w="120" w:type="dxa"/>
            </w:tcMar>
            <w:vAlign w:val="center"/>
          </w:tcPr>
          <w:p>
            <w:pPr>
              <w:jc w:val="center"/>
            </w:pPr>
            <w:r>
              <w:rPr>
                <w:sz w:val="18"/>
              </w:rPr>
              <w:t>8.127</w:t>
            </w:r>
          </w:p>
        </w:tc>
      </w:tr>
      <w:tr>
        <w:trPr>
          <w:cantSplit/>
        </w:trPr>
        <w:tc>
          <w:tcPr>
            <w:tcW w:type="dxa" w:w="1300"/>
            <w:tcMar>
              <w:top w:w="85" w:type="dxa"/>
              <w:start w:w="120" w:type="dxa"/>
              <w:bottom w:w="85" w:type="dxa"/>
              <w:end w:w="120" w:type="dxa"/>
            </w:tcMar>
            <w:vAlign w:val="center"/>
          </w:tcPr>
          <w:p>
            <w:pPr>
              <w:jc w:val="left"/>
            </w:pPr>
            <w:r>
              <w:rPr>
                <w:sz w:val="18"/>
              </w:rPr>
              <w:t>11</w:t>
            </w:r>
          </w:p>
        </w:tc>
        <w:tc>
          <w:tcPr>
            <w:tcW w:type="dxa" w:w="2500"/>
            <w:tcMar>
              <w:top w:w="85" w:type="dxa"/>
              <w:start w:w="120" w:type="dxa"/>
              <w:bottom w:w="85" w:type="dxa"/>
              <w:end w:w="120" w:type="dxa"/>
            </w:tcMar>
            <w:vAlign w:val="center"/>
          </w:tcPr>
          <w:p>
            <w:pPr>
              <w:jc w:val="center"/>
            </w:pPr>
            <w:r>
              <w:rPr>
                <w:sz w:val="18"/>
              </w:rPr>
              <w:t>0.905%</w:t>
            </w:r>
          </w:p>
        </w:tc>
        <w:tc>
          <w:tcPr>
            <w:tcW w:type="dxa" w:w="2600"/>
            <w:tcMar>
              <w:top w:w="85" w:type="dxa"/>
              <w:start w:w="120" w:type="dxa"/>
              <w:bottom w:w="85" w:type="dxa"/>
              <w:end w:w="120" w:type="dxa"/>
            </w:tcMar>
            <w:vAlign w:val="center"/>
          </w:tcPr>
          <w:p>
            <w:pPr>
              <w:jc w:val="center"/>
            </w:pPr>
            <w:r>
              <w:rPr>
                <w:sz w:val="18"/>
              </w:rPr>
              <w:t>94.071%</w:t>
            </w:r>
          </w:p>
        </w:tc>
        <w:tc>
          <w:tcPr>
            <w:tcW w:type="dxa" w:w="2960"/>
            <w:tcMar>
              <w:top w:w="85" w:type="dxa"/>
              <w:start w:w="120" w:type="dxa"/>
              <w:bottom w:w="85" w:type="dxa"/>
              <w:end w:w="120" w:type="dxa"/>
            </w:tcMar>
            <w:vAlign w:val="center"/>
          </w:tcPr>
          <w:p>
            <w:pPr>
              <w:jc w:val="center"/>
            </w:pPr>
            <w:r>
              <w:rPr>
                <w:sz w:val="18"/>
              </w:rPr>
              <w:t>7.039</w:t>
            </w:r>
          </w:p>
        </w:tc>
      </w:tr>
      <w:tr>
        <w:trPr>
          <w:cantSplit/>
        </w:trPr>
        <w:tc>
          <w:tcPr>
            <w:tcW w:type="dxa" w:w="1300"/>
            <w:tcMar>
              <w:top w:w="85" w:type="dxa"/>
              <w:start w:w="120" w:type="dxa"/>
              <w:bottom w:w="85" w:type="dxa"/>
              <w:end w:w="120" w:type="dxa"/>
            </w:tcMar>
            <w:vAlign w:val="center"/>
          </w:tcPr>
          <w:p>
            <w:pPr>
              <w:jc w:val="left"/>
            </w:pPr>
            <w:r>
              <w:rPr>
                <w:sz w:val="18"/>
              </w:rPr>
              <w:t>12</w:t>
            </w:r>
          </w:p>
        </w:tc>
        <w:tc>
          <w:tcPr>
            <w:tcW w:type="dxa" w:w="2500"/>
            <w:tcMar>
              <w:top w:w="85" w:type="dxa"/>
              <w:start w:w="120" w:type="dxa"/>
              <w:bottom w:w="85" w:type="dxa"/>
              <w:end w:w="120" w:type="dxa"/>
            </w:tcMar>
            <w:vAlign w:val="center"/>
          </w:tcPr>
          <w:p>
            <w:pPr>
              <w:jc w:val="center"/>
            </w:pPr>
            <w:r>
              <w:rPr>
                <w:sz w:val="18"/>
              </w:rPr>
              <w:t>0.777%</w:t>
            </w:r>
          </w:p>
        </w:tc>
        <w:tc>
          <w:tcPr>
            <w:tcW w:type="dxa" w:w="2600"/>
            <w:tcMar>
              <w:top w:w="85" w:type="dxa"/>
              <w:start w:w="120" w:type="dxa"/>
              <w:bottom w:w="85" w:type="dxa"/>
              <w:end w:w="120" w:type="dxa"/>
            </w:tcMar>
            <w:vAlign w:val="center"/>
          </w:tcPr>
          <w:p>
            <w:pPr>
              <w:jc w:val="center"/>
            </w:pPr>
            <w:r>
              <w:rPr>
                <w:sz w:val="18"/>
              </w:rPr>
              <w:t>94.848%</w:t>
            </w:r>
          </w:p>
        </w:tc>
        <w:tc>
          <w:tcPr>
            <w:tcW w:type="dxa" w:w="2960"/>
            <w:tcMar>
              <w:top w:w="85" w:type="dxa"/>
              <w:start w:w="120" w:type="dxa"/>
              <w:bottom w:w="85" w:type="dxa"/>
              <w:end w:w="120" w:type="dxa"/>
            </w:tcMar>
            <w:vAlign w:val="center"/>
          </w:tcPr>
          <w:p>
            <w:pPr>
              <w:jc w:val="center"/>
            </w:pPr>
            <w:r>
              <w:rPr>
                <w:sz w:val="18"/>
              </w:rPr>
              <w:t>6.521</w:t>
            </w:r>
          </w:p>
        </w:tc>
      </w:tr>
      <w:tr>
        <w:trPr>
          <w:cantSplit/>
        </w:trPr>
        <w:tc>
          <w:tcPr>
            <w:tcW w:type="dxa" w:w="1300"/>
            <w:tcMar>
              <w:top w:w="85" w:type="dxa"/>
              <w:start w:w="120" w:type="dxa"/>
              <w:bottom w:w="85" w:type="dxa"/>
              <w:end w:w="120" w:type="dxa"/>
            </w:tcMar>
            <w:vAlign w:val="center"/>
          </w:tcPr>
          <w:p>
            <w:pPr>
              <w:jc w:val="left"/>
            </w:pPr>
            <w:r>
              <w:rPr>
                <w:sz w:val="18"/>
              </w:rPr>
              <w:t>13</w:t>
            </w:r>
          </w:p>
        </w:tc>
        <w:tc>
          <w:tcPr>
            <w:tcW w:type="dxa" w:w="2500"/>
            <w:tcMar>
              <w:top w:w="85" w:type="dxa"/>
              <w:start w:w="120" w:type="dxa"/>
              <w:bottom w:w="85" w:type="dxa"/>
              <w:end w:w="120" w:type="dxa"/>
            </w:tcMar>
            <w:vAlign w:val="center"/>
          </w:tcPr>
          <w:p>
            <w:pPr>
              <w:jc w:val="center"/>
            </w:pPr>
            <w:r>
              <w:rPr>
                <w:sz w:val="18"/>
              </w:rPr>
              <w:t>0.699%</w:t>
            </w:r>
          </w:p>
        </w:tc>
        <w:tc>
          <w:tcPr>
            <w:tcW w:type="dxa" w:w="2600"/>
            <w:tcMar>
              <w:top w:w="85" w:type="dxa"/>
              <w:start w:w="120" w:type="dxa"/>
              <w:bottom w:w="85" w:type="dxa"/>
              <w:end w:w="120" w:type="dxa"/>
            </w:tcMar>
            <w:vAlign w:val="center"/>
          </w:tcPr>
          <w:p>
            <w:pPr>
              <w:jc w:val="center"/>
            </w:pPr>
            <w:r>
              <w:rPr>
                <w:sz w:val="18"/>
              </w:rPr>
              <w:t>95.547%</w:t>
            </w:r>
          </w:p>
        </w:tc>
        <w:tc>
          <w:tcPr>
            <w:tcW w:type="dxa" w:w="2960"/>
            <w:tcMar>
              <w:top w:w="85" w:type="dxa"/>
              <w:start w:w="120" w:type="dxa"/>
              <w:bottom w:w="85" w:type="dxa"/>
              <w:end w:w="120" w:type="dxa"/>
            </w:tcMar>
            <w:vAlign w:val="center"/>
          </w:tcPr>
          <w:p>
            <w:pPr>
              <w:jc w:val="center"/>
            </w:pPr>
            <w:r>
              <w:rPr>
                <w:sz w:val="18"/>
              </w:rPr>
              <w:t>6.187</w:t>
            </w:r>
          </w:p>
        </w:tc>
      </w:tr>
    </w:tbl>
    <w:p>
      <w:pPr>
        <w:spacing w:after="0"/>
      </w:pPr>
    </w:p>
    <w:p>
      <w:r>
        <w:t>PCA scores are centered at approximately zero. Coefficient standard deviations are the square roots of the learned eigenvalues. Generation does not sample an unconstrained point cloud: it starts from a complete case-matched empirical score and adds a clipped standard-normal innovation multiplied by the mode SD and the validated scale 0.04. This preserves coordinated population structure and avoids independent point noise.</w:t>
      </w:r>
    </w:p>
    <w:tbl>
      <w:tblPr>
        <w:tblStyle w:val="TableGrid"/>
        <w:tblW w:type="dxa" w:w="9360"/>
        <w:tblLayout w:type="fixed"/>
        <w:tblLook w:firstColumn="1" w:firstRow="1" w:lastColumn="0" w:lastRow="0" w:noHBand="0" w:noVBand="1" w:val="04A0"/>
        <w:jc w:val="left"/>
        <w:tblInd w:w="0" w:type="dxa"/>
      </w:tblPr>
      <w:tblGrid>
        <w:gridCol w:w="2500"/>
        <w:gridCol w:w="2300"/>
        <w:gridCol w:w="2300"/>
        <w:gridCol w:w="2260"/>
      </w:tblGrid>
      <w:tr>
        <w:trPr>
          <w:cantSplit/>
          <w:tblHeader w:val="true"/>
          <w:cantSplit/>
        </w:trPr>
        <w:tc>
          <w:tcPr>
            <w:tcW w:type="dxa" w:w="2500"/>
            <w:tcMar>
              <w:top w:w="85" w:type="dxa"/>
              <w:start w:w="120" w:type="dxa"/>
              <w:bottom w:w="85" w:type="dxa"/>
              <w:end w:w="120" w:type="dxa"/>
            </w:tcMar>
            <w:vAlign w:val="center"/>
            <w:shd w:fill="EAF2FB"/>
          </w:tcPr>
          <w:p>
            <w:pPr>
              <w:jc w:val="center"/>
            </w:pPr>
            <w:r>
              <w:rPr>
                <w:b/>
                <w:sz w:val="17"/>
              </w:rPr>
              <w:t>Training metric</w:t>
            </w:r>
          </w:p>
        </w:tc>
        <w:tc>
          <w:tcPr>
            <w:tcW w:type="dxa" w:w="2300"/>
            <w:tcMar>
              <w:top w:w="85" w:type="dxa"/>
              <w:start w:w="120" w:type="dxa"/>
              <w:bottom w:w="85" w:type="dxa"/>
              <w:end w:w="120" w:type="dxa"/>
            </w:tcMar>
            <w:vAlign w:val="center"/>
            <w:shd w:fill="EAF2FB"/>
          </w:tcPr>
          <w:p>
            <w:pPr>
              <w:jc w:val="center"/>
            </w:pPr>
            <w:r>
              <w:rPr>
                <w:b/>
                <w:sz w:val="17"/>
              </w:rPr>
              <w:t>Mean +/- SD</w:t>
            </w:r>
          </w:p>
        </w:tc>
        <w:tc>
          <w:tcPr>
            <w:tcW w:type="dxa" w:w="2300"/>
            <w:tcMar>
              <w:top w:w="85" w:type="dxa"/>
              <w:start w:w="120" w:type="dxa"/>
              <w:bottom w:w="85" w:type="dxa"/>
              <w:end w:w="120" w:type="dxa"/>
            </w:tcMar>
            <w:vAlign w:val="center"/>
            <w:shd w:fill="EAF2FB"/>
          </w:tcPr>
          <w:p>
            <w:pPr>
              <w:jc w:val="center"/>
            </w:pPr>
            <w:r>
              <w:rPr>
                <w:b/>
                <w:sz w:val="17"/>
              </w:rPr>
              <w:t>Central 95%</w:t>
            </w:r>
          </w:p>
        </w:tc>
        <w:tc>
          <w:tcPr>
            <w:tcW w:type="dxa" w:w="2260"/>
            <w:tcMar>
              <w:top w:w="85" w:type="dxa"/>
              <w:start w:w="120" w:type="dxa"/>
              <w:bottom w:w="85" w:type="dxa"/>
              <w:end w:w="120" w:type="dxa"/>
            </w:tcMar>
            <w:vAlign w:val="center"/>
            <w:shd w:fill="EAF2FB"/>
          </w:tcPr>
          <w:p>
            <w:pPr>
              <w:jc w:val="center"/>
            </w:pPr>
            <w:r>
              <w:rPr>
                <w:b/>
                <w:sz w:val="17"/>
              </w:rPr>
              <w:t>Observed/definition</w:t>
            </w:r>
          </w:p>
        </w:tc>
      </w:tr>
      <w:tr>
        <w:trPr>
          <w:cantSplit/>
        </w:trPr>
        <w:tc>
          <w:tcPr>
            <w:tcW w:type="dxa" w:w="2500"/>
            <w:tcMar>
              <w:top w:w="85" w:type="dxa"/>
              <w:start w:w="120" w:type="dxa"/>
              <w:bottom w:w="85" w:type="dxa"/>
              <w:end w:w="120" w:type="dxa"/>
            </w:tcMar>
            <w:vAlign w:val="center"/>
          </w:tcPr>
          <w:p>
            <w:pPr>
              <w:jc w:val="left"/>
            </w:pPr>
            <w:r>
              <w:rPr>
                <w:sz w:val="17"/>
              </w:rPr>
              <w:t>LMCA length (mm)</w:t>
            </w:r>
          </w:p>
        </w:tc>
        <w:tc>
          <w:tcPr>
            <w:tcW w:type="dxa" w:w="2300"/>
            <w:tcMar>
              <w:top w:w="85" w:type="dxa"/>
              <w:start w:w="120" w:type="dxa"/>
              <w:bottom w:w="85" w:type="dxa"/>
              <w:end w:w="120" w:type="dxa"/>
            </w:tcMar>
            <w:vAlign w:val="center"/>
          </w:tcPr>
          <w:p>
            <w:pPr>
              <w:jc w:val="center"/>
            </w:pPr>
            <w:r>
              <w:rPr>
                <w:sz w:val="17"/>
              </w:rPr>
              <w:t>17.177 +/- 15.062</w:t>
            </w:r>
          </w:p>
        </w:tc>
        <w:tc>
          <w:tcPr>
            <w:tcW w:type="dxa" w:w="2300"/>
            <w:tcMar>
              <w:top w:w="85" w:type="dxa"/>
              <w:start w:w="120" w:type="dxa"/>
              <w:bottom w:w="85" w:type="dxa"/>
              <w:end w:w="120" w:type="dxa"/>
            </w:tcMar>
            <w:vAlign w:val="center"/>
          </w:tcPr>
          <w:p>
            <w:pPr>
              <w:jc w:val="center"/>
            </w:pPr>
            <w:r>
              <w:rPr>
                <w:sz w:val="17"/>
              </w:rPr>
              <w:t>5.281 to 54.223</w:t>
            </w:r>
          </w:p>
        </w:tc>
        <w:tc>
          <w:tcPr>
            <w:tcW w:type="dxa" w:w="2260"/>
            <w:tcMar>
              <w:top w:w="85" w:type="dxa"/>
              <w:start w:w="120" w:type="dxa"/>
              <w:bottom w:w="85" w:type="dxa"/>
              <w:end w:w="120" w:type="dxa"/>
            </w:tcMar>
            <w:vAlign w:val="center"/>
          </w:tcPr>
          <w:p>
            <w:pPr>
              <w:jc w:val="center"/>
            </w:pPr>
            <w:r>
              <w:rPr>
                <w:sz w:val="17"/>
              </w:rPr>
              <w:t>4.472 to 72.780</w:t>
            </w:r>
          </w:p>
        </w:tc>
      </w:tr>
      <w:tr>
        <w:trPr>
          <w:cantSplit/>
        </w:trPr>
        <w:tc>
          <w:tcPr>
            <w:tcW w:type="dxa" w:w="2500"/>
            <w:tcMar>
              <w:top w:w="85" w:type="dxa"/>
              <w:start w:w="120" w:type="dxa"/>
              <w:bottom w:w="85" w:type="dxa"/>
              <w:end w:w="120" w:type="dxa"/>
            </w:tcMar>
            <w:vAlign w:val="center"/>
          </w:tcPr>
          <w:p>
            <w:pPr>
              <w:jc w:val="left"/>
            </w:pPr>
            <w:r>
              <w:rPr>
                <w:sz w:val="17"/>
              </w:rPr>
              <w:t>LAD length (mm)</w:t>
            </w:r>
          </w:p>
        </w:tc>
        <w:tc>
          <w:tcPr>
            <w:tcW w:type="dxa" w:w="2300"/>
            <w:tcMar>
              <w:top w:w="85" w:type="dxa"/>
              <w:start w:w="120" w:type="dxa"/>
              <w:bottom w:w="85" w:type="dxa"/>
              <w:end w:w="120" w:type="dxa"/>
            </w:tcMar>
            <w:vAlign w:val="center"/>
          </w:tcPr>
          <w:p>
            <w:pPr>
              <w:jc w:val="center"/>
            </w:pPr>
            <w:r>
              <w:rPr>
                <w:sz w:val="17"/>
              </w:rPr>
              <w:t>120.685 +/- 28.333</w:t>
            </w:r>
          </w:p>
        </w:tc>
        <w:tc>
          <w:tcPr>
            <w:tcW w:type="dxa" w:w="2300"/>
            <w:tcMar>
              <w:top w:w="85" w:type="dxa"/>
              <w:start w:w="120" w:type="dxa"/>
              <w:bottom w:w="85" w:type="dxa"/>
              <w:end w:w="120" w:type="dxa"/>
            </w:tcMar>
            <w:vAlign w:val="center"/>
          </w:tcPr>
          <w:p>
            <w:pPr>
              <w:jc w:val="center"/>
            </w:pPr>
            <w:r>
              <w:rPr>
                <w:sz w:val="17"/>
              </w:rPr>
              <w:t>71.832 to 168.784</w:t>
            </w:r>
          </w:p>
        </w:tc>
        <w:tc>
          <w:tcPr>
            <w:tcW w:type="dxa" w:w="2260"/>
            <w:tcMar>
              <w:top w:w="85" w:type="dxa"/>
              <w:start w:w="120" w:type="dxa"/>
              <w:bottom w:w="85" w:type="dxa"/>
              <w:end w:w="120" w:type="dxa"/>
            </w:tcMar>
            <w:vAlign w:val="center"/>
          </w:tcPr>
          <w:p>
            <w:pPr>
              <w:jc w:val="center"/>
            </w:pPr>
            <w:r>
              <w:rPr>
                <w:sz w:val="17"/>
              </w:rPr>
              <w:t>58.508 to 187.545</w:t>
            </w:r>
          </w:p>
        </w:tc>
      </w:tr>
      <w:tr>
        <w:trPr>
          <w:cantSplit/>
        </w:trPr>
        <w:tc>
          <w:tcPr>
            <w:tcW w:type="dxa" w:w="2500"/>
            <w:tcMar>
              <w:top w:w="85" w:type="dxa"/>
              <w:start w:w="120" w:type="dxa"/>
              <w:bottom w:w="85" w:type="dxa"/>
              <w:end w:w="120" w:type="dxa"/>
            </w:tcMar>
            <w:vAlign w:val="center"/>
          </w:tcPr>
          <w:p>
            <w:pPr>
              <w:jc w:val="left"/>
            </w:pPr>
            <w:r>
              <w:rPr>
                <w:sz w:val="17"/>
              </w:rPr>
              <w:t>LCX length (mm)</w:t>
            </w:r>
          </w:p>
        </w:tc>
        <w:tc>
          <w:tcPr>
            <w:tcW w:type="dxa" w:w="2300"/>
            <w:tcMar>
              <w:top w:w="85" w:type="dxa"/>
              <w:start w:w="120" w:type="dxa"/>
              <w:bottom w:w="85" w:type="dxa"/>
              <w:end w:w="120" w:type="dxa"/>
            </w:tcMar>
            <w:vAlign w:val="center"/>
          </w:tcPr>
          <w:p>
            <w:pPr>
              <w:jc w:val="center"/>
            </w:pPr>
            <w:r>
              <w:rPr>
                <w:sz w:val="17"/>
              </w:rPr>
              <w:t>77.092 +/- 23.520</w:t>
            </w:r>
          </w:p>
        </w:tc>
        <w:tc>
          <w:tcPr>
            <w:tcW w:type="dxa" w:w="2300"/>
            <w:tcMar>
              <w:top w:w="85" w:type="dxa"/>
              <w:start w:w="120" w:type="dxa"/>
              <w:bottom w:w="85" w:type="dxa"/>
              <w:end w:w="120" w:type="dxa"/>
            </w:tcMar>
            <w:vAlign w:val="center"/>
          </w:tcPr>
          <w:p>
            <w:pPr>
              <w:jc w:val="center"/>
            </w:pPr>
            <w:r>
              <w:rPr>
                <w:sz w:val="17"/>
              </w:rPr>
              <w:t>42.565 to 121.792</w:t>
            </w:r>
          </w:p>
        </w:tc>
        <w:tc>
          <w:tcPr>
            <w:tcW w:type="dxa" w:w="2260"/>
            <w:tcMar>
              <w:top w:w="85" w:type="dxa"/>
              <w:start w:w="120" w:type="dxa"/>
              <w:bottom w:w="85" w:type="dxa"/>
              <w:end w:w="120" w:type="dxa"/>
            </w:tcMar>
            <w:vAlign w:val="center"/>
          </w:tcPr>
          <w:p>
            <w:pPr>
              <w:jc w:val="center"/>
            </w:pPr>
            <w:r>
              <w:rPr>
                <w:sz w:val="17"/>
              </w:rPr>
              <w:t>40.072 to 129.452</w:t>
            </w:r>
          </w:p>
        </w:tc>
      </w:tr>
      <w:tr>
        <w:trPr>
          <w:cantSplit/>
        </w:trPr>
        <w:tc>
          <w:tcPr>
            <w:tcW w:type="dxa" w:w="2500"/>
            <w:tcMar>
              <w:top w:w="85" w:type="dxa"/>
              <w:start w:w="120" w:type="dxa"/>
              <w:bottom w:w="85" w:type="dxa"/>
              <w:end w:w="120" w:type="dxa"/>
            </w:tcMar>
            <w:vAlign w:val="center"/>
          </w:tcPr>
          <w:p>
            <w:pPr>
              <w:jc w:val="left"/>
            </w:pPr>
            <w:r>
              <w:rPr>
                <w:sz w:val="17"/>
              </w:rPr>
              <w:t>LAD-LCX angle (deg)</w:t>
            </w:r>
          </w:p>
        </w:tc>
        <w:tc>
          <w:tcPr>
            <w:tcW w:type="dxa" w:w="2300"/>
            <w:tcMar>
              <w:top w:w="85" w:type="dxa"/>
              <w:start w:w="120" w:type="dxa"/>
              <w:bottom w:w="85" w:type="dxa"/>
              <w:end w:w="120" w:type="dxa"/>
            </w:tcMar>
            <w:vAlign w:val="center"/>
          </w:tcPr>
          <w:p>
            <w:pPr>
              <w:jc w:val="center"/>
            </w:pPr>
            <w:r>
              <w:rPr>
                <w:sz w:val="17"/>
              </w:rPr>
              <w:t>90.807 +/- 24.699</w:t>
            </w:r>
          </w:p>
        </w:tc>
        <w:tc>
          <w:tcPr>
            <w:tcW w:type="dxa" w:w="2300"/>
            <w:tcMar>
              <w:top w:w="85" w:type="dxa"/>
              <w:start w:w="120" w:type="dxa"/>
              <w:bottom w:w="85" w:type="dxa"/>
              <w:end w:w="120" w:type="dxa"/>
            </w:tcMar>
            <w:vAlign w:val="center"/>
          </w:tcPr>
          <w:p>
            <w:pPr>
              <w:jc w:val="center"/>
            </w:pPr>
            <w:r>
              <w:rPr>
                <w:sz w:val="17"/>
              </w:rPr>
              <w:t>57.729 to 151.506</w:t>
            </w:r>
          </w:p>
        </w:tc>
        <w:tc>
          <w:tcPr>
            <w:tcW w:type="dxa" w:w="2260"/>
            <w:tcMar>
              <w:top w:w="85" w:type="dxa"/>
              <w:start w:w="120" w:type="dxa"/>
              <w:bottom w:w="85" w:type="dxa"/>
              <w:end w:w="120" w:type="dxa"/>
            </w:tcMar>
            <w:vAlign w:val="center"/>
          </w:tcPr>
          <w:p>
            <w:pPr>
              <w:jc w:val="center"/>
            </w:pPr>
            <w:r>
              <w:rPr>
                <w:sz w:val="17"/>
              </w:rPr>
              <w:t>49.496 to 173.795</w:t>
            </w:r>
          </w:p>
        </w:tc>
      </w:tr>
      <w:tr>
        <w:trPr>
          <w:cantSplit/>
        </w:trPr>
        <w:tc>
          <w:tcPr>
            <w:tcW w:type="dxa" w:w="2500"/>
            <w:tcMar>
              <w:top w:w="85" w:type="dxa"/>
              <w:start w:w="120" w:type="dxa"/>
              <w:bottom w:w="85" w:type="dxa"/>
              <w:end w:w="120" w:type="dxa"/>
            </w:tcMar>
            <w:vAlign w:val="center"/>
          </w:tcPr>
          <w:p>
            <w:pPr>
              <w:jc w:val="left"/>
            </w:pPr>
            <w:r>
              <w:rPr>
                <w:sz w:val="17"/>
              </w:rPr>
              <w:t>LMCA tortuosity</w:t>
            </w:r>
          </w:p>
        </w:tc>
        <w:tc>
          <w:tcPr>
            <w:tcW w:type="dxa" w:w="2300"/>
            <w:tcMar>
              <w:top w:w="85" w:type="dxa"/>
              <w:start w:w="120" w:type="dxa"/>
              <w:bottom w:w="85" w:type="dxa"/>
              <w:end w:w="120" w:type="dxa"/>
            </w:tcMar>
            <w:vAlign w:val="center"/>
          </w:tcPr>
          <w:p>
            <w:pPr>
              <w:jc w:val="center"/>
            </w:pPr>
            <w:r>
              <w:rPr>
                <w:sz w:val="17"/>
              </w:rPr>
              <w:t>1.055 +/- 0.070</w:t>
            </w:r>
          </w:p>
        </w:tc>
        <w:tc>
          <w:tcPr>
            <w:tcW w:type="dxa" w:w="2300"/>
            <w:tcMar>
              <w:top w:w="85" w:type="dxa"/>
              <w:start w:w="120" w:type="dxa"/>
              <w:bottom w:w="85" w:type="dxa"/>
              <w:end w:w="120" w:type="dxa"/>
            </w:tcMar>
            <w:vAlign w:val="center"/>
          </w:tcPr>
          <w:p>
            <w:pPr>
              <w:jc w:val="center"/>
            </w:pPr>
            <w:r>
              <w:rPr>
                <w:sz w:val="17"/>
              </w:rPr>
              <w:t>1.006 to 1.239</w:t>
            </w:r>
          </w:p>
        </w:tc>
        <w:tc>
          <w:tcPr>
            <w:tcW w:type="dxa" w:w="2260"/>
            <w:tcMar>
              <w:top w:w="85" w:type="dxa"/>
              <w:start w:w="120" w:type="dxa"/>
              <w:bottom w:w="85" w:type="dxa"/>
              <w:end w:w="120" w:type="dxa"/>
            </w:tcMar>
            <w:vAlign w:val="center"/>
          </w:tcPr>
          <w:p>
            <w:pPr>
              <w:jc w:val="center"/>
            </w:pPr>
            <w:r>
              <w:rPr>
                <w:sz w:val="17"/>
              </w:rPr>
              <w:t>arc/chord distance metric</w:t>
            </w:r>
          </w:p>
        </w:tc>
      </w:tr>
      <w:tr>
        <w:trPr>
          <w:cantSplit/>
        </w:trPr>
        <w:tc>
          <w:tcPr>
            <w:tcW w:type="dxa" w:w="2500"/>
            <w:tcMar>
              <w:top w:w="85" w:type="dxa"/>
              <w:start w:w="120" w:type="dxa"/>
              <w:bottom w:w="85" w:type="dxa"/>
              <w:end w:w="120" w:type="dxa"/>
            </w:tcMar>
            <w:vAlign w:val="center"/>
          </w:tcPr>
          <w:p>
            <w:pPr>
              <w:jc w:val="left"/>
            </w:pPr>
            <w:r>
              <w:rPr>
                <w:sz w:val="17"/>
              </w:rPr>
              <w:t>LAD tortuosity</w:t>
            </w:r>
          </w:p>
        </w:tc>
        <w:tc>
          <w:tcPr>
            <w:tcW w:type="dxa" w:w="2300"/>
            <w:tcMar>
              <w:top w:w="85" w:type="dxa"/>
              <w:start w:w="120" w:type="dxa"/>
              <w:bottom w:w="85" w:type="dxa"/>
              <w:end w:w="120" w:type="dxa"/>
            </w:tcMar>
            <w:vAlign w:val="center"/>
          </w:tcPr>
          <w:p>
            <w:pPr>
              <w:jc w:val="center"/>
            </w:pPr>
            <w:r>
              <w:rPr>
                <w:sz w:val="17"/>
              </w:rPr>
              <w:t>1.373 +/- 0.207</w:t>
            </w:r>
          </w:p>
        </w:tc>
        <w:tc>
          <w:tcPr>
            <w:tcW w:type="dxa" w:w="2300"/>
            <w:tcMar>
              <w:top w:w="85" w:type="dxa"/>
              <w:start w:w="120" w:type="dxa"/>
              <w:bottom w:w="85" w:type="dxa"/>
              <w:end w:w="120" w:type="dxa"/>
            </w:tcMar>
            <w:vAlign w:val="center"/>
          </w:tcPr>
          <w:p>
            <w:pPr>
              <w:jc w:val="center"/>
            </w:pPr>
            <w:r>
              <w:rPr>
                <w:sz w:val="17"/>
              </w:rPr>
              <w:t>1.114 to 1.812</w:t>
            </w:r>
          </w:p>
        </w:tc>
        <w:tc>
          <w:tcPr>
            <w:tcW w:type="dxa" w:w="2260"/>
            <w:tcMar>
              <w:top w:w="85" w:type="dxa"/>
              <w:start w:w="120" w:type="dxa"/>
              <w:bottom w:w="85" w:type="dxa"/>
              <w:end w:w="120" w:type="dxa"/>
            </w:tcMar>
            <w:vAlign w:val="center"/>
          </w:tcPr>
          <w:p>
            <w:pPr>
              <w:jc w:val="center"/>
            </w:pPr>
            <w:r>
              <w:rPr>
                <w:sz w:val="17"/>
              </w:rPr>
              <w:t>arc/chord distance metric</w:t>
            </w:r>
          </w:p>
        </w:tc>
      </w:tr>
      <w:tr>
        <w:trPr>
          <w:cantSplit/>
        </w:trPr>
        <w:tc>
          <w:tcPr>
            <w:tcW w:type="dxa" w:w="2500"/>
            <w:tcMar>
              <w:top w:w="85" w:type="dxa"/>
              <w:start w:w="120" w:type="dxa"/>
              <w:bottom w:w="85" w:type="dxa"/>
              <w:end w:w="120" w:type="dxa"/>
            </w:tcMar>
            <w:vAlign w:val="center"/>
          </w:tcPr>
          <w:p>
            <w:pPr>
              <w:jc w:val="left"/>
            </w:pPr>
            <w:r>
              <w:rPr>
                <w:sz w:val="17"/>
              </w:rPr>
              <w:t>LCX tortuosity</w:t>
            </w:r>
          </w:p>
        </w:tc>
        <w:tc>
          <w:tcPr>
            <w:tcW w:type="dxa" w:w="2300"/>
            <w:tcMar>
              <w:top w:w="85" w:type="dxa"/>
              <w:start w:w="120" w:type="dxa"/>
              <w:bottom w:w="85" w:type="dxa"/>
              <w:end w:w="120" w:type="dxa"/>
            </w:tcMar>
            <w:vAlign w:val="center"/>
          </w:tcPr>
          <w:p>
            <w:pPr>
              <w:jc w:val="center"/>
            </w:pPr>
            <w:r>
              <w:rPr>
                <w:sz w:val="17"/>
              </w:rPr>
              <w:t>1.264 +/- 0.142</w:t>
            </w:r>
          </w:p>
        </w:tc>
        <w:tc>
          <w:tcPr>
            <w:tcW w:type="dxa" w:w="2300"/>
            <w:tcMar>
              <w:top w:w="85" w:type="dxa"/>
              <w:start w:w="120" w:type="dxa"/>
              <w:bottom w:w="85" w:type="dxa"/>
              <w:end w:w="120" w:type="dxa"/>
            </w:tcMar>
            <w:vAlign w:val="center"/>
          </w:tcPr>
          <w:p>
            <w:pPr>
              <w:jc w:val="center"/>
            </w:pPr>
            <w:r>
              <w:rPr>
                <w:sz w:val="17"/>
              </w:rPr>
              <w:t>1.047 to 1.532</w:t>
            </w:r>
          </w:p>
        </w:tc>
        <w:tc>
          <w:tcPr>
            <w:tcW w:type="dxa" w:w="2260"/>
            <w:tcMar>
              <w:top w:w="85" w:type="dxa"/>
              <w:start w:w="120" w:type="dxa"/>
              <w:bottom w:w="85" w:type="dxa"/>
              <w:end w:w="120" w:type="dxa"/>
            </w:tcMar>
            <w:vAlign w:val="center"/>
          </w:tcPr>
          <w:p>
            <w:pPr>
              <w:jc w:val="center"/>
            </w:pPr>
            <w:r>
              <w:rPr>
                <w:sz w:val="17"/>
              </w:rPr>
              <w:t>arc/chord distance metric</w:t>
            </w:r>
          </w:p>
        </w:tc>
      </w:tr>
    </w:tbl>
    <w:p>
      <w:pPr>
        <w:spacing w:after="0"/>
      </w:pPr>
    </w:p>
    <w:p>
      <w:pPr>
        <w:keepNext/>
        <w:jc w:val="center"/>
      </w:pPr>
      <w:r>
        <w:drawing>
          <wp:inline xmlns:a="http://schemas.openxmlformats.org/drawingml/2006/main" xmlns:pic="http://schemas.openxmlformats.org/drawingml/2006/picture">
            <wp:extent cx="5806440" cy="3297054"/>
            <wp:docPr id="2" name="Picture 2" title="Figure 1. Retained PCA-score comparison between eligible real references and the final generated cohort." descr="Figure 1. Retained PCA-score comparison between eligible real references and the final generated cohort."/>
            <wp:cNvGraphicFramePr>
              <a:graphicFrameLocks noChangeAspect="1"/>
            </wp:cNvGraphicFramePr>
            <a:graphic>
              <a:graphicData uri="http://schemas.openxmlformats.org/drawingml/2006/picture">
                <pic:pic>
                  <pic:nvPicPr>
                    <pic:cNvPr id="0" name="pca_score_comparison.png"/>
                    <pic:cNvPicPr/>
                  </pic:nvPicPr>
                  <pic:blipFill>
                    <a:blip r:embed="rId12"/>
                    <a:stretch>
                      <a:fillRect/>
                    </a:stretch>
                  </pic:blipFill>
                  <pic:spPr>
                    <a:xfrm>
                      <a:off x="0" y="0"/>
                      <a:ext cx="5806440" cy="3297054"/>
                    </a:xfrm>
                    <a:prstGeom prst="rect"/>
                  </pic:spPr>
                </pic:pic>
              </a:graphicData>
            </a:graphic>
          </wp:inline>
        </w:drawing>
      </w:r>
    </w:p>
    <w:p>
      <w:pPr>
        <w:pStyle w:val="Caption"/>
        <w:keepNext w:val="0"/>
        <w:jc w:val="center"/>
      </w:pPr>
      <w:r>
        <w:rPr>
          <w:i/>
        </w:rPr>
        <w:t>Figure 1. Retained PCA-score comparison between eligible real references and the final generated cohort.</w:t>
      </w:r>
    </w:p>
    <w:p>
      <w:pPr>
        <w:pStyle w:val="Heading1"/>
        <w:pageBreakBefore/>
      </w:pPr>
      <w:r>
        <w:t>6. Synthetic anatomy generation and acceptance</w:t>
      </w:r>
    </w:p>
    <w:p>
      <w:r>
        <w:t>Each synthetic tree uses a joint empirical bootstrap of ellipsoid and named landmarks, the exact matched trajectory/local-basis representation for the scheduled source case, and centered joint PCA innovation. Endpoint innovation trends are removed so the ostium, shared bifurcation, and terminals remain exact. Unlearned pointwise noise and a second hand-tuned tortuosity perturbation are disabled. The advanced generator generalizes the original two-ellipse scaffold: it does not literally resample two planar ellipse arcs, and this distinction is deliberate and documented.</w:t>
      </w:r>
    </w:p>
    <w:tbl>
      <w:tblPr>
        <w:tblStyle w:val="TableGrid"/>
        <w:tblW w:type="dxa" w:w="9360"/>
        <w:tblLayout w:type="fixed"/>
        <w:tblLook w:firstColumn="1" w:firstRow="1" w:lastColumn="0" w:lastRow="0" w:noHBand="0" w:noVBand="1" w:val="04A0"/>
        <w:jc w:val="left"/>
        <w:tblInd w:w="0" w:type="dxa"/>
      </w:tblPr>
      <w:tblGrid>
        <w:gridCol w:w="3100"/>
        <w:gridCol w:w="6260"/>
      </w:tblGrid>
      <w:tr>
        <w:trPr>
          <w:cantSplit/>
          <w:tblHeader w:val="true"/>
          <w:cantSplit/>
        </w:trPr>
        <w:tc>
          <w:tcPr>
            <w:tcW w:type="dxa" w:w="3100"/>
            <w:tcMar>
              <w:top w:w="85" w:type="dxa"/>
              <w:start w:w="120" w:type="dxa"/>
              <w:bottom w:w="85" w:type="dxa"/>
              <w:end w:w="120" w:type="dxa"/>
            </w:tcMar>
            <w:vAlign w:val="center"/>
            <w:shd w:fill="EAF2FB"/>
          </w:tcPr>
          <w:p>
            <w:pPr>
              <w:jc w:val="center"/>
            </w:pPr>
            <w:r>
              <w:rPr>
                <w:b/>
                <w:sz w:val="18"/>
              </w:rPr>
              <w:t>Generation control</w:t>
            </w:r>
          </w:p>
        </w:tc>
        <w:tc>
          <w:tcPr>
            <w:tcW w:type="dxa" w:w="6260"/>
            <w:tcMar>
              <w:top w:w="85" w:type="dxa"/>
              <w:start w:w="120" w:type="dxa"/>
              <w:bottom w:w="85" w:type="dxa"/>
              <w:end w:w="120" w:type="dxa"/>
            </w:tcMar>
            <w:vAlign w:val="center"/>
            <w:shd w:fill="EAF2FB"/>
          </w:tcPr>
          <w:p>
            <w:pPr>
              <w:jc w:val="center"/>
            </w:pPr>
            <w:r>
              <w:rPr>
                <w:b/>
                <w:sz w:val="18"/>
              </w:rPr>
              <w:t>Final policy</w:t>
            </w:r>
          </w:p>
        </w:tc>
      </w:tr>
      <w:tr>
        <w:trPr>
          <w:cantSplit/>
        </w:trPr>
        <w:tc>
          <w:tcPr>
            <w:tcW w:type="dxa" w:w="3100"/>
            <w:tcMar>
              <w:top w:w="85" w:type="dxa"/>
              <w:start w:w="120" w:type="dxa"/>
              <w:bottom w:w="85" w:type="dxa"/>
              <w:end w:w="120" w:type="dxa"/>
            </w:tcMar>
            <w:vAlign w:val="center"/>
          </w:tcPr>
          <w:p>
            <w:pPr>
              <w:jc w:val="left"/>
            </w:pPr>
            <w:r>
              <w:rPr>
                <w:sz w:val="18"/>
              </w:rPr>
              <w:t>Canonical cohort size</w:t>
            </w:r>
          </w:p>
        </w:tc>
        <w:tc>
          <w:tcPr>
            <w:tcW w:type="dxa" w:w="6260"/>
            <w:tcMar>
              <w:top w:w="85" w:type="dxa"/>
              <w:start w:w="120" w:type="dxa"/>
              <w:bottom w:w="85" w:type="dxa"/>
              <w:end w:w="120" w:type="dxa"/>
            </w:tcMar>
            <w:vAlign w:val="center"/>
          </w:tcPr>
          <w:p>
            <w:pPr>
              <w:jc w:val="left"/>
            </w:pPr>
            <w:r>
              <w:rPr>
                <w:sz w:val="18"/>
              </w:rPr>
              <w:t>52, one per eligible empirical baseline before any baseline repeats</w:t>
            </w:r>
          </w:p>
        </w:tc>
      </w:tr>
      <w:tr>
        <w:trPr>
          <w:cantSplit/>
        </w:trPr>
        <w:tc>
          <w:tcPr>
            <w:tcW w:type="dxa" w:w="3100"/>
            <w:tcMar>
              <w:top w:w="85" w:type="dxa"/>
              <w:start w:w="120" w:type="dxa"/>
              <w:bottom w:w="85" w:type="dxa"/>
              <w:end w:w="120" w:type="dxa"/>
            </w:tcMar>
            <w:vAlign w:val="center"/>
          </w:tcPr>
          <w:p>
            <w:pPr>
              <w:jc w:val="left"/>
            </w:pPr>
            <w:r>
              <w:rPr>
                <w:sz w:val="18"/>
              </w:rPr>
              <w:t>PCA innovation</w:t>
            </w:r>
          </w:p>
        </w:tc>
        <w:tc>
          <w:tcPr>
            <w:tcW w:type="dxa" w:w="6260"/>
            <w:tcMar>
              <w:top w:w="85" w:type="dxa"/>
              <w:start w:w="120" w:type="dxa"/>
              <w:bottom w:w="85" w:type="dxa"/>
              <w:end w:w="120" w:type="dxa"/>
            </w:tcMar>
            <w:vAlign w:val="center"/>
          </w:tcPr>
          <w:p>
            <w:pPr>
              <w:jc w:val="left"/>
            </w:pPr>
            <w:r>
              <w:rPr>
                <w:sz w:val="18"/>
              </w:rPr>
              <w:t>0.04 scale; normal scores clipped to +/-3 SD</w:t>
            </w:r>
          </w:p>
        </w:tc>
      </w:tr>
      <w:tr>
        <w:trPr>
          <w:cantSplit/>
        </w:trPr>
        <w:tc>
          <w:tcPr>
            <w:tcW w:type="dxa" w:w="3100"/>
            <w:tcMar>
              <w:top w:w="85" w:type="dxa"/>
              <w:start w:w="120" w:type="dxa"/>
              <w:bottom w:w="85" w:type="dxa"/>
              <w:end w:w="120" w:type="dxa"/>
            </w:tcMar>
            <w:vAlign w:val="center"/>
          </w:tcPr>
          <w:p>
            <w:pPr>
              <w:jc w:val="left"/>
            </w:pPr>
            <w:r>
              <w:rPr>
                <w:sz w:val="18"/>
              </w:rPr>
              <w:t>Attempts</w:t>
            </w:r>
          </w:p>
        </w:tc>
        <w:tc>
          <w:tcPr>
            <w:tcW w:type="dxa" w:w="6260"/>
            <w:tcMar>
              <w:top w:w="85" w:type="dxa"/>
              <w:start w:w="120" w:type="dxa"/>
              <w:bottom w:w="85" w:type="dxa"/>
              <w:end w:w="120" w:type="dxa"/>
            </w:tcMar>
            <w:vAlign w:val="center"/>
          </w:tcPr>
          <w:p>
            <w:pPr>
              <w:jc w:val="left"/>
            </w:pPr>
            <w:r>
              <w:rPr>
                <w:sz w:val="18"/>
              </w:rPr>
              <w:t>Up to 250 per requested accepted tree</w:t>
            </w:r>
          </w:p>
        </w:tc>
      </w:tr>
      <w:tr>
        <w:trPr>
          <w:cantSplit/>
        </w:trPr>
        <w:tc>
          <w:tcPr>
            <w:tcW w:type="dxa" w:w="3100"/>
            <w:tcMar>
              <w:top w:w="85" w:type="dxa"/>
              <w:start w:w="120" w:type="dxa"/>
              <w:bottom w:w="85" w:type="dxa"/>
              <w:end w:w="120" w:type="dxa"/>
            </w:tcMar>
            <w:vAlign w:val="center"/>
          </w:tcPr>
          <w:p>
            <w:pPr>
              <w:jc w:val="left"/>
            </w:pPr>
            <w:r>
              <w:rPr>
                <w:sz w:val="18"/>
              </w:rPr>
              <w:t>Topology</w:t>
            </w:r>
          </w:p>
        </w:tc>
        <w:tc>
          <w:tcPr>
            <w:tcW w:type="dxa" w:w="6260"/>
            <w:tcMar>
              <w:top w:w="85" w:type="dxa"/>
              <w:start w:w="120" w:type="dxa"/>
              <w:bottom w:w="85" w:type="dxa"/>
              <w:end w:w="120" w:type="dxa"/>
            </w:tcMar>
            <w:vAlign w:val="center"/>
          </w:tcPr>
          <w:p>
            <w:pPr>
              <w:jc w:val="left"/>
            </w:pPr>
            <w:r>
              <w:rPr>
                <w:sz w:val="18"/>
              </w:rPr>
              <w:t>LMCA[-1] == LAD[0] == LCX[0] exactly</w:t>
            </w:r>
          </w:p>
        </w:tc>
      </w:tr>
      <w:tr>
        <w:trPr>
          <w:cantSplit/>
        </w:trPr>
        <w:tc>
          <w:tcPr>
            <w:tcW w:type="dxa" w:w="3100"/>
            <w:tcMar>
              <w:top w:w="85" w:type="dxa"/>
              <w:start w:w="120" w:type="dxa"/>
              <w:bottom w:w="85" w:type="dxa"/>
              <w:end w:w="120" w:type="dxa"/>
            </w:tcMar>
            <w:vAlign w:val="center"/>
          </w:tcPr>
          <w:p>
            <w:pPr>
              <w:jc w:val="left"/>
            </w:pPr>
            <w:r>
              <w:rPr>
                <w:sz w:val="18"/>
              </w:rPr>
              <w:t>Endpoints</w:t>
            </w:r>
          </w:p>
        </w:tc>
        <w:tc>
          <w:tcPr>
            <w:tcW w:type="dxa" w:w="6260"/>
            <w:tcMar>
              <w:top w:w="85" w:type="dxa"/>
              <w:start w:w="120" w:type="dxa"/>
              <w:bottom w:w="85" w:type="dxa"/>
              <w:end w:w="120" w:type="dxa"/>
            </w:tcMar>
            <w:vAlign w:val="center"/>
          </w:tcPr>
          <w:p>
            <w:pPr>
              <w:jc w:val="left"/>
            </w:pPr>
            <w:r>
              <w:rPr>
                <w:sz w:val="18"/>
              </w:rPr>
              <w:t>Empirical ostium, bifurcation, LAD terminal, and LCX terminal preserved</w:t>
            </w:r>
          </w:p>
        </w:tc>
      </w:tr>
      <w:tr>
        <w:trPr>
          <w:cantSplit/>
        </w:trPr>
        <w:tc>
          <w:tcPr>
            <w:tcW w:type="dxa" w:w="3100"/>
            <w:tcMar>
              <w:top w:w="85" w:type="dxa"/>
              <w:start w:w="120" w:type="dxa"/>
              <w:bottom w:w="85" w:type="dxa"/>
              <w:end w:w="120" w:type="dxa"/>
            </w:tcMar>
            <w:vAlign w:val="center"/>
          </w:tcPr>
          <w:p>
            <w:pPr>
              <w:jc w:val="left"/>
            </w:pPr>
            <w:r>
              <w:rPr>
                <w:sz w:val="18"/>
              </w:rPr>
              <w:t>Noise</w:t>
            </w:r>
          </w:p>
        </w:tc>
        <w:tc>
          <w:tcPr>
            <w:tcW w:type="dxa" w:w="6260"/>
            <w:tcMar>
              <w:top w:w="85" w:type="dxa"/>
              <w:start w:w="120" w:type="dxa"/>
              <w:bottom w:w="85" w:type="dxa"/>
              <w:end w:w="120" w:type="dxa"/>
            </w:tcMar>
            <w:vAlign w:val="center"/>
          </w:tcPr>
          <w:p>
            <w:pPr>
              <w:jc w:val="left"/>
            </w:pPr>
            <w:r>
              <w:rPr>
                <w:sz w:val="18"/>
              </w:rPr>
              <w:t>No independent point-by-point random noise</w:t>
            </w:r>
          </w:p>
        </w:tc>
      </w:tr>
      <w:tr>
        <w:trPr>
          <w:cantSplit/>
        </w:trPr>
        <w:tc>
          <w:tcPr>
            <w:tcW w:type="dxa" w:w="3100"/>
            <w:tcMar>
              <w:top w:w="85" w:type="dxa"/>
              <w:start w:w="120" w:type="dxa"/>
              <w:bottom w:w="85" w:type="dxa"/>
              <w:end w:w="120" w:type="dxa"/>
            </w:tcMar>
            <w:vAlign w:val="center"/>
          </w:tcPr>
          <w:p>
            <w:pPr>
              <w:jc w:val="left"/>
            </w:pPr>
            <w:r>
              <w:rPr>
                <w:sz w:val="18"/>
              </w:rPr>
              <w:t>RCA</w:t>
            </w:r>
          </w:p>
        </w:tc>
        <w:tc>
          <w:tcPr>
            <w:tcW w:type="dxa" w:w="6260"/>
            <w:tcMar>
              <w:top w:w="85" w:type="dxa"/>
              <w:start w:w="120" w:type="dxa"/>
              <w:bottom w:w="85" w:type="dxa"/>
              <w:end w:w="120" w:type="dxa"/>
            </w:tcMar>
            <w:vAlign w:val="center"/>
          </w:tcPr>
          <w:p>
            <w:pPr>
              <w:jc w:val="left"/>
            </w:pPr>
            <w:r>
              <w:rPr>
                <w:sz w:val="18"/>
              </w:rPr>
              <w:t>Excluded from final statistical model and generation</w:t>
            </w:r>
          </w:p>
        </w:tc>
      </w:tr>
      <w:tr>
        <w:trPr>
          <w:cantSplit/>
        </w:trPr>
        <w:tc>
          <w:tcPr>
            <w:tcW w:type="dxa" w:w="3100"/>
            <w:tcMar>
              <w:top w:w="85" w:type="dxa"/>
              <w:start w:w="120" w:type="dxa"/>
              <w:bottom w:w="85" w:type="dxa"/>
              <w:end w:w="120" w:type="dxa"/>
            </w:tcMar>
            <w:vAlign w:val="center"/>
          </w:tcPr>
          <w:p>
            <w:pPr>
              <w:jc w:val="left"/>
            </w:pPr>
            <w:r>
              <w:rPr>
                <w:sz w:val="18"/>
              </w:rPr>
              <w:t>Dense curve</w:t>
            </w:r>
          </w:p>
        </w:tc>
        <w:tc>
          <w:tcPr>
            <w:tcW w:type="dxa" w:w="6260"/>
            <w:tcMar>
              <w:top w:w="85" w:type="dxa"/>
              <w:start w:w="120" w:type="dxa"/>
              <w:bottom w:w="85" w:type="dxa"/>
              <w:end w:w="120" w:type="dxa"/>
            </w:tcMar>
            <w:vAlign w:val="center"/>
          </w:tcPr>
          <w:p>
            <w:pPr>
              <w:jc w:val="left"/>
            </w:pPr>
            <w:r>
              <w:rPr>
                <w:sz w:val="18"/>
              </w:rPr>
              <w:t>Normalized-arc shape-preserving cubic B-spline; explicit SciPy BSpline evaluation</w:t>
            </w:r>
          </w:p>
        </w:tc>
      </w:tr>
    </w:tbl>
    <w:p>
      <w:pPr>
        <w:spacing w:after="0"/>
      </w:pPr>
    </w:p>
    <w:p>
      <w:pPr>
        <w:pStyle w:val="Heading2"/>
        <w:pageBreakBefore w:val="0"/>
      </w:pPr>
      <w:r>
        <w:t>6.1 Static acceptance hierarchy</w:t>
      </w:r>
    </w:p>
    <w:p>
      <w:pPr>
        <w:spacing w:after="100"/>
        <w:ind w:left="720" w:hanging="360"/>
      </w:pPr>
      <w:r>
        <w:t xml:space="preserve">1.  </w:t>
      </w:r>
      <w:r>
        <w:t>Valid finite Nx3 arrays and all mandatory branches present.</w:t>
      </w:r>
    </w:p>
    <w:p>
      <w:pPr>
        <w:spacing w:after="100"/>
        <w:ind w:left="720" w:hanging="360"/>
      </w:pPr>
      <w:r>
        <w:t xml:space="preserve">2.  </w:t>
      </w:r>
      <w:r>
        <w:t>Exact LMCA-LAD-LCX junction equality and separated daughter terminals.</w:t>
      </w:r>
    </w:p>
    <w:p>
      <w:pPr>
        <w:spacing w:after="100"/>
        <w:ind w:left="720" w:hanging="360"/>
      </w:pPr>
      <w:r>
        <w:t xml:space="preserve">3.  </w:t>
      </w:r>
      <w:r>
        <w:t>LMCA shorter than both major daughters.</w:t>
      </w:r>
    </w:p>
    <w:p>
      <w:pPr>
        <w:spacing w:after="100"/>
        <w:ind w:left="720" w:hanging="360"/>
      </w:pPr>
      <w:r>
        <w:t xml:space="preserve">4.  </w:t>
      </w:r>
      <w:r>
        <w:t>Relative daughter-role gate: LAD is at least 10 mm more inferior than LCX; LCX remains comparatively horizontal and more lateral. Absolute apex-reach checks are descriptive warnings, not hard acceptance.</w:t>
      </w:r>
    </w:p>
    <w:p>
      <w:pPr>
        <w:spacing w:after="100"/>
        <w:ind w:left="720" w:hanging="360"/>
      </w:pPr>
      <w:r>
        <w:t xml:space="preserve">5.  </w:t>
      </w:r>
      <w:r>
        <w:t>No nonlocal self-intersection and no unintended inter-branch collision below the configured clearance.</w:t>
      </w:r>
    </w:p>
    <w:p>
      <w:pPr>
        <w:spacing w:after="100"/>
        <w:ind w:left="720" w:hanging="360"/>
      </w:pPr>
      <w:r>
        <w:t xml:space="preserve">6.  </w:t>
      </w:r>
      <w:r>
        <w:t>Ellipsoid axes and branch lengths inside observed real hard limits; central 95% departures remain warnings.</w:t>
      </w:r>
    </w:p>
    <w:p>
      <w:pPr>
        <w:spacing w:after="100"/>
        <w:ind w:left="720" w:hanging="360"/>
      </w:pPr>
      <w:r>
        <w:t xml:space="preserve">7.  </w:t>
      </w:r>
      <w:r>
        <w:t>Tortuosity, obliquity, backward progress, terminal progress, and maximum local turn inside learned observed extrema.</w:t>
      </w:r>
    </w:p>
    <w:p>
      <w:pPr>
        <w:spacing w:after="100"/>
        <w:ind w:left="720" w:hanging="360"/>
      </w:pPr>
      <w:r>
        <w:t xml:space="preserve">8.  </w:t>
      </w:r>
      <w:r>
        <w:t>VTK files reopen with complete named blocks and point arrays.</w:t>
      </w:r>
    </w:p>
    <w:p>
      <w:pPr>
        <w:pStyle w:val="Heading2"/>
        <w:pageBreakBefore w:val="0"/>
      </w:pPr>
      <w:r>
        <w:t>6.2 B-spline construction</w:t>
      </w:r>
    </w:p>
    <w:p>
      <w:r>
        <w:t>The final empirical controls are the fixed 5/12/10 normalized-arc samples. Stable PCHIP Hermite derivatives are converted interval-by-interval to cubic Bezier controls, assembled as a clamped cubic B-spline with repeated interior knots, and evaluated through SciPy BSpline at 60/180/160 dense LMCA/LAD/LCX samples. The first and last points are overwritten with exact controls and the daughter starts are snapped to the LMCA terminal. This is a real B-spline basis representation, not a polyline. Unconstrained global cubic trials were rejected because they introduced hooks and violated learned progression/tortuosity limits. The accepted implementation reproduces the prior stable path to numerical precision while making the spline basis explicit.</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tcMar>
              <w:top w:w="85" w:type="dxa"/>
              <w:start w:w="120" w:type="dxa"/>
              <w:bottom w:w="85" w:type="dxa"/>
              <w:end w:w="120" w:type="dxa"/>
            </w:tcMar>
            <w:vAlign w:val="center"/>
            <w:shd w:fill="E6F4EA"/>
          </w:tcPr>
          <w:p>
            <w:r>
              <w:rPr>
                <w:b/>
                <w:color w:val="17324D"/>
              </w:rPr>
              <w:t>Final limitation fixed</w:t>
              <w:br/>
            </w:r>
            <w:r>
              <w:t>The earlier 25-tree cohort had one LMCA local-turn distribution warning. The 0.04 innovation calibration and learned branch-course hard bounds produced 52/52 accepted trees with 50/50 distribution checks passing.</w:t>
            </w:r>
          </w:p>
        </w:tc>
      </w:tr>
    </w:tbl>
    <w:p>
      <w:pPr>
        <w:spacing w:after="0"/>
      </w:pPr>
    </w:p>
    <w:p>
      <w:pPr>
        <w:keepNext/>
        <w:jc w:val="center"/>
      </w:pPr>
      <w:r>
        <w:drawing>
          <wp:inline xmlns:a="http://schemas.openxmlformats.org/drawingml/2006/main" xmlns:pic="http://schemas.openxmlformats.org/drawingml/2006/picture">
            <wp:extent cx="5852160" cy="5301982"/>
            <wp:docPr id="3" name="Picture 3" title="Figure 2. All 52 accepted trees in a common fixed-scale cardiac X-Z view. Colors are machine-checked: LMCA dark gray, LAD red, LCX teal; negative Z points toward the apex." descr="Figure 2. All 52 accepted trees in a common fixed-scale cardiac X-Z view. Colors are machine-checked: LMCA dark gray, LAD red, LCX teal; negative Z points toward the apex."/>
            <wp:cNvGraphicFramePr>
              <a:graphicFrameLocks noChangeAspect="1"/>
            </wp:cNvGraphicFramePr>
            <a:graphic>
              <a:graphicData uri="http://schemas.openxmlformats.org/drawingml/2006/picture">
                <pic:pic>
                  <pic:nvPicPr>
                    <pic:cNvPr id="0" name="population_montage_fixed_scale.png"/>
                    <pic:cNvPicPr/>
                  </pic:nvPicPr>
                  <pic:blipFill>
                    <a:blip r:embed="rId13"/>
                    <a:stretch>
                      <a:fillRect/>
                    </a:stretch>
                  </pic:blipFill>
                  <pic:spPr>
                    <a:xfrm>
                      <a:off x="0" y="0"/>
                      <a:ext cx="5852160" cy="5301982"/>
                    </a:xfrm>
                    <a:prstGeom prst="rect"/>
                  </pic:spPr>
                </pic:pic>
              </a:graphicData>
            </a:graphic>
          </wp:inline>
        </w:drawing>
      </w:r>
    </w:p>
    <w:p>
      <w:pPr>
        <w:pStyle w:val="Caption"/>
        <w:keepNext w:val="0"/>
        <w:jc w:val="center"/>
      </w:pPr>
      <w:r>
        <w:rPr>
          <w:i/>
        </w:rPr>
        <w:t>Figure 2. All 52 accepted trees in a common fixed-scale cardiac X-Z view. Colors are machine-checked: LMCA dark gray, LAD red, LCX teal; negative Z points toward the apex.</w:t>
      </w:r>
    </w:p>
    <w:p>
      <w:pPr>
        <w:keepNext/>
        <w:jc w:val="center"/>
      </w:pPr>
      <w:r>
        <w:drawing>
          <wp:inline xmlns:a="http://schemas.openxmlformats.org/drawingml/2006/main" xmlns:pic="http://schemas.openxmlformats.org/drawingml/2006/picture">
            <wp:extent cx="5852160" cy="4512027"/>
            <wp:docPr id="4" name="Picture 4" title="Selected 3D audit views include low-margin, typical, and specifically requested trees 0036 and 0052; apparent 2D crossings are assessed with 3D clearance metrics." descr="Selected 3D audit views include low-margin, typical, and specifically requested trees 0036 and 0052; apparent 2D crossings are assessed with 3D clearance metrics."/>
            <wp:cNvGraphicFramePr>
              <a:graphicFrameLocks noChangeAspect="1"/>
            </wp:cNvGraphicFramePr>
            <a:graphic>
              <a:graphicData uri="http://schemas.openxmlformats.org/drawingml/2006/picture">
                <pic:pic>
                  <pic:nvPicPr>
                    <pic:cNvPr id="0" name="population_montage_3d_selected.png"/>
                    <pic:cNvPicPr/>
                  </pic:nvPicPr>
                  <pic:blipFill>
                    <a:blip r:embed="rId14"/>
                    <a:stretch>
                      <a:fillRect/>
                    </a:stretch>
                  </pic:blipFill>
                  <pic:spPr>
                    <a:xfrm>
                      <a:off x="0" y="0"/>
                      <a:ext cx="5852160" cy="4512027"/>
                    </a:xfrm>
                    <a:prstGeom prst="rect"/>
                  </pic:spPr>
                </pic:pic>
              </a:graphicData>
            </a:graphic>
          </wp:inline>
        </w:drawing>
      </w:r>
    </w:p>
    <w:p>
      <w:pPr>
        <w:pStyle w:val="Caption"/>
        <w:keepNext w:val="0"/>
        <w:jc w:val="center"/>
      </w:pPr>
      <w:r>
        <w:rPr>
          <w:i/>
        </w:rPr>
        <w:t>Selected 3D audit views include low-margin, typical, and specifically requested trees 0036 and 0052; apparent 2D crossings are assessed with 3D clearance metrics.</w:t>
      </w:r>
    </w:p>
    <w:p>
      <w:pPr>
        <w:keepNext/>
        <w:jc w:val="center"/>
      </w:pPr>
      <w:r>
        <w:drawing>
          <wp:inline xmlns:a="http://schemas.openxmlformats.org/drawingml/2006/main" xmlns:pic="http://schemas.openxmlformats.org/drawingml/2006/picture">
            <wp:extent cx="5852160" cy="4402507"/>
            <wp:docPr id="5" name="Picture 5" title="Figure 3. Real-versus-generated length, angle, tortuosity, landmark, and scaffold distributions." descr="Figure 3. Real-versus-generated length, angle, tortuosity, landmark, and scaffold distributions."/>
            <wp:cNvGraphicFramePr>
              <a:graphicFrameLocks noChangeAspect="1"/>
            </wp:cNvGraphicFramePr>
            <a:graphic>
              <a:graphicData uri="http://schemas.openxmlformats.org/drawingml/2006/picture">
                <pic:pic>
                  <pic:nvPicPr>
                    <pic:cNvPr id="0" name="real_vs_generated_distributions.png"/>
                    <pic:cNvPicPr/>
                  </pic:nvPicPr>
                  <pic:blipFill>
                    <a:blip r:embed="rId15"/>
                    <a:stretch>
                      <a:fillRect/>
                    </a:stretch>
                  </pic:blipFill>
                  <pic:spPr>
                    <a:xfrm>
                      <a:off x="0" y="0"/>
                      <a:ext cx="5852160" cy="4402507"/>
                    </a:xfrm>
                    <a:prstGeom prst="rect"/>
                  </pic:spPr>
                </pic:pic>
              </a:graphicData>
            </a:graphic>
          </wp:inline>
        </w:drawing>
      </w:r>
    </w:p>
    <w:p>
      <w:pPr>
        <w:pStyle w:val="Caption"/>
        <w:keepNext w:val="0"/>
        <w:jc w:val="center"/>
      </w:pPr>
      <w:r>
        <w:rPr>
          <w:i/>
        </w:rPr>
        <w:t>Figure 3. Real-versus-generated length, angle, tortuosity, landmark, and scaffold distributions.</w:t>
      </w:r>
    </w:p>
    <w:p>
      <w:r>
        <w:br w:type="page"/>
      </w:r>
    </w:p>
    <w:p>
      <w:pPr>
        <w:pStyle w:val="Heading1"/>
        <w:pageBreakBefore w:val="0"/>
      </w:pPr>
      <w:r>
        <w:t>7. Radius taper, disease, motion, and pulsatility</w:t>
      </w:r>
    </w:p>
    <w:p>
      <w:pPr>
        <w:pStyle w:val="Heading2"/>
        <w:pageBreakBefore w:val="0"/>
      </w:pPr>
      <w:r>
        <w:t>7.1 Static radius model</w:t>
      </w:r>
    </w:p>
    <w:tbl>
      <w:tblPr>
        <w:tblStyle w:val="TableGrid"/>
        <w:tblW w:type="dxa" w:w="9360"/>
        <w:tblLayout w:type="fixed"/>
        <w:tblLook w:firstColumn="1" w:firstRow="1" w:lastColumn="0" w:lastRow="0" w:noHBand="0" w:noVBand="1" w:val="04A0"/>
        <w:jc w:val="left"/>
        <w:tblInd w:w="0" w:type="dxa"/>
      </w:tblPr>
      <w:tblGrid>
        <w:gridCol w:w="1600"/>
        <w:gridCol w:w="2000"/>
        <w:gridCol w:w="3500"/>
        <w:gridCol w:w="2260"/>
      </w:tblGrid>
      <w:tr>
        <w:trPr>
          <w:cantSplit/>
          <w:tblHeader w:val="true"/>
          <w:cantSplit/>
        </w:trPr>
        <w:tc>
          <w:tcPr>
            <w:tcW w:type="dxa" w:w="1600"/>
            <w:tcMar>
              <w:top w:w="85" w:type="dxa"/>
              <w:start w:w="120" w:type="dxa"/>
              <w:bottom w:w="85" w:type="dxa"/>
              <w:end w:w="120" w:type="dxa"/>
            </w:tcMar>
            <w:vAlign w:val="center"/>
            <w:shd w:fill="EAF2FB"/>
          </w:tcPr>
          <w:p>
            <w:pPr>
              <w:jc w:val="center"/>
            </w:pPr>
            <w:r>
              <w:rPr>
                <w:b/>
                <w:sz w:val="18"/>
              </w:rPr>
              <w:t>Branch</w:t>
            </w:r>
          </w:p>
        </w:tc>
        <w:tc>
          <w:tcPr>
            <w:tcW w:type="dxa" w:w="2000"/>
            <w:tcMar>
              <w:top w:w="85" w:type="dxa"/>
              <w:start w:w="120" w:type="dxa"/>
              <w:bottom w:w="85" w:type="dxa"/>
              <w:end w:w="120" w:type="dxa"/>
            </w:tcMar>
            <w:vAlign w:val="center"/>
            <w:shd w:fill="EAF2FB"/>
          </w:tcPr>
          <w:p>
            <w:pPr>
              <w:jc w:val="center"/>
            </w:pPr>
            <w:r>
              <w:rPr>
                <w:b/>
                <w:sz w:val="18"/>
              </w:rPr>
              <w:t>Proximal radius</w:t>
            </w:r>
          </w:p>
        </w:tc>
        <w:tc>
          <w:tcPr>
            <w:tcW w:type="dxa" w:w="3500"/>
            <w:tcMar>
              <w:top w:w="85" w:type="dxa"/>
              <w:start w:w="120" w:type="dxa"/>
              <w:bottom w:w="85" w:type="dxa"/>
              <w:end w:w="120" w:type="dxa"/>
            </w:tcMar>
            <w:vAlign w:val="center"/>
            <w:shd w:fill="EAF2FB"/>
          </w:tcPr>
          <w:p>
            <w:pPr>
              <w:jc w:val="center"/>
            </w:pPr>
            <w:r>
              <w:rPr>
                <w:b/>
                <w:sz w:val="18"/>
              </w:rPr>
              <w:t>Taper</w:t>
            </w:r>
          </w:p>
        </w:tc>
        <w:tc>
          <w:tcPr>
            <w:tcW w:type="dxa" w:w="2260"/>
            <w:tcMar>
              <w:top w:w="85" w:type="dxa"/>
              <w:start w:w="120" w:type="dxa"/>
              <w:bottom w:w="85" w:type="dxa"/>
              <w:end w:w="120" w:type="dxa"/>
            </w:tcMar>
            <w:vAlign w:val="center"/>
            <w:shd w:fill="EAF2FB"/>
          </w:tcPr>
          <w:p>
            <w:pPr>
              <w:jc w:val="center"/>
            </w:pPr>
            <w:r>
              <w:rPr>
                <w:b/>
                <w:sz w:val="18"/>
              </w:rPr>
              <w:t>Representative proximal diameter</w:t>
            </w:r>
          </w:p>
        </w:tc>
      </w:tr>
      <w:tr>
        <w:trPr>
          <w:cantSplit/>
        </w:trPr>
        <w:tc>
          <w:tcPr>
            <w:tcW w:type="dxa" w:w="1600"/>
            <w:tcMar>
              <w:top w:w="85" w:type="dxa"/>
              <w:start w:w="120" w:type="dxa"/>
              <w:bottom w:w="85" w:type="dxa"/>
              <w:end w:w="120" w:type="dxa"/>
            </w:tcMar>
            <w:vAlign w:val="center"/>
          </w:tcPr>
          <w:p>
            <w:pPr>
              <w:jc w:val="left"/>
            </w:pPr>
            <w:r>
              <w:rPr>
                <w:sz w:val="18"/>
              </w:rPr>
              <w:t>LMCA</w:t>
            </w:r>
          </w:p>
        </w:tc>
        <w:tc>
          <w:tcPr>
            <w:tcW w:type="dxa" w:w="2000"/>
            <w:tcMar>
              <w:top w:w="85" w:type="dxa"/>
              <w:start w:w="120" w:type="dxa"/>
              <w:bottom w:w="85" w:type="dxa"/>
              <w:end w:w="120" w:type="dxa"/>
            </w:tcMar>
            <w:vAlign w:val="center"/>
          </w:tcPr>
          <w:p>
            <w:pPr>
              <w:jc w:val="center"/>
            </w:pPr>
            <w:r>
              <w:rPr>
                <w:sz w:val="18"/>
              </w:rPr>
              <w:t>2.0 mm</w:t>
            </w:r>
          </w:p>
        </w:tc>
        <w:tc>
          <w:tcPr>
            <w:tcW w:type="dxa" w:w="3500"/>
            <w:tcMar>
              <w:top w:w="85" w:type="dxa"/>
              <w:start w:w="120" w:type="dxa"/>
              <w:bottom w:w="85" w:type="dxa"/>
              <w:end w:w="120" w:type="dxa"/>
            </w:tcMar>
            <w:vAlign w:val="center"/>
          </w:tcPr>
          <w:p>
            <w:pPr>
              <w:jc w:val="left"/>
            </w:pPr>
            <w:r>
              <w:rPr>
                <w:sz w:val="18"/>
              </w:rPr>
              <w:t>Cube-law distal target with distance-shaped transition</w:t>
            </w:r>
          </w:p>
        </w:tc>
        <w:tc>
          <w:tcPr>
            <w:tcW w:type="dxa" w:w="2260"/>
            <w:tcMar>
              <w:top w:w="85" w:type="dxa"/>
              <w:start w:w="120" w:type="dxa"/>
              <w:bottom w:w="85" w:type="dxa"/>
              <w:end w:w="120" w:type="dxa"/>
            </w:tcMar>
            <w:vAlign w:val="center"/>
          </w:tcPr>
          <w:p>
            <w:pPr>
              <w:jc w:val="center"/>
            </w:pPr>
            <w:r>
              <w:rPr>
                <w:sz w:val="18"/>
              </w:rPr>
              <w:t>4.0 mm</w:t>
            </w:r>
          </w:p>
        </w:tc>
      </w:tr>
      <w:tr>
        <w:trPr>
          <w:cantSplit/>
        </w:trPr>
        <w:tc>
          <w:tcPr>
            <w:tcW w:type="dxa" w:w="1600"/>
            <w:tcMar>
              <w:top w:w="85" w:type="dxa"/>
              <w:start w:w="120" w:type="dxa"/>
              <w:bottom w:w="85" w:type="dxa"/>
              <w:end w:w="120" w:type="dxa"/>
            </w:tcMar>
            <w:vAlign w:val="center"/>
          </w:tcPr>
          <w:p>
            <w:pPr>
              <w:jc w:val="left"/>
            </w:pPr>
            <w:r>
              <w:rPr>
                <w:sz w:val="18"/>
              </w:rPr>
              <w:t>LAD</w:t>
            </w:r>
          </w:p>
        </w:tc>
        <w:tc>
          <w:tcPr>
            <w:tcW w:type="dxa" w:w="2000"/>
            <w:tcMar>
              <w:top w:w="85" w:type="dxa"/>
              <w:start w:w="120" w:type="dxa"/>
              <w:bottom w:w="85" w:type="dxa"/>
              <w:end w:w="120" w:type="dxa"/>
            </w:tcMar>
            <w:vAlign w:val="center"/>
          </w:tcPr>
          <w:p>
            <w:pPr>
              <w:jc w:val="center"/>
            </w:pPr>
            <w:r>
              <w:rPr>
                <w:sz w:val="18"/>
              </w:rPr>
              <w:t>1.3 mm</w:t>
            </w:r>
          </w:p>
        </w:tc>
        <w:tc>
          <w:tcPr>
            <w:tcW w:type="dxa" w:w="3500"/>
            <w:tcMar>
              <w:top w:w="85" w:type="dxa"/>
              <w:start w:w="120" w:type="dxa"/>
              <w:bottom w:w="85" w:type="dxa"/>
              <w:end w:w="120" w:type="dxa"/>
            </w:tcMar>
            <w:vAlign w:val="center"/>
          </w:tcPr>
          <w:p>
            <w:pPr>
              <w:jc w:val="center"/>
            </w:pPr>
            <w:r>
              <w:rPr>
                <w:sz w:val="18"/>
              </w:rPr>
              <w:t>exp(-0.0035 x distance_mm)</w:t>
            </w:r>
          </w:p>
        </w:tc>
        <w:tc>
          <w:tcPr>
            <w:tcW w:type="dxa" w:w="2260"/>
            <w:tcMar>
              <w:top w:w="85" w:type="dxa"/>
              <w:start w:w="120" w:type="dxa"/>
              <w:bottom w:w="85" w:type="dxa"/>
              <w:end w:w="120" w:type="dxa"/>
            </w:tcMar>
            <w:vAlign w:val="center"/>
          </w:tcPr>
          <w:p>
            <w:pPr>
              <w:jc w:val="center"/>
            </w:pPr>
            <w:r>
              <w:rPr>
                <w:sz w:val="18"/>
              </w:rPr>
              <w:t>2.6 mm</w:t>
            </w:r>
          </w:p>
        </w:tc>
      </w:tr>
      <w:tr>
        <w:trPr>
          <w:cantSplit/>
        </w:trPr>
        <w:tc>
          <w:tcPr>
            <w:tcW w:type="dxa" w:w="1600"/>
            <w:tcMar>
              <w:top w:w="85" w:type="dxa"/>
              <w:start w:w="120" w:type="dxa"/>
              <w:bottom w:w="85" w:type="dxa"/>
              <w:end w:w="120" w:type="dxa"/>
            </w:tcMar>
            <w:vAlign w:val="center"/>
          </w:tcPr>
          <w:p>
            <w:pPr>
              <w:jc w:val="left"/>
            </w:pPr>
            <w:r>
              <w:rPr>
                <w:sz w:val="18"/>
              </w:rPr>
              <w:t>LCX</w:t>
            </w:r>
          </w:p>
        </w:tc>
        <w:tc>
          <w:tcPr>
            <w:tcW w:type="dxa" w:w="2000"/>
            <w:tcMar>
              <w:top w:w="85" w:type="dxa"/>
              <w:start w:w="120" w:type="dxa"/>
              <w:bottom w:w="85" w:type="dxa"/>
              <w:end w:w="120" w:type="dxa"/>
            </w:tcMar>
            <w:vAlign w:val="center"/>
          </w:tcPr>
          <w:p>
            <w:pPr>
              <w:jc w:val="center"/>
            </w:pPr>
            <w:r>
              <w:rPr>
                <w:sz w:val="18"/>
              </w:rPr>
              <w:t>1.2 mm</w:t>
            </w:r>
          </w:p>
        </w:tc>
        <w:tc>
          <w:tcPr>
            <w:tcW w:type="dxa" w:w="3500"/>
            <w:tcMar>
              <w:top w:w="85" w:type="dxa"/>
              <w:start w:w="120" w:type="dxa"/>
              <w:bottom w:w="85" w:type="dxa"/>
              <w:end w:w="120" w:type="dxa"/>
            </w:tcMar>
            <w:vAlign w:val="center"/>
          </w:tcPr>
          <w:p>
            <w:pPr>
              <w:jc w:val="center"/>
            </w:pPr>
            <w:r>
              <w:rPr>
                <w:sz w:val="18"/>
              </w:rPr>
              <w:t>exp(-0.0035 x distance_mm)</w:t>
            </w:r>
          </w:p>
        </w:tc>
        <w:tc>
          <w:tcPr>
            <w:tcW w:type="dxa" w:w="2260"/>
            <w:tcMar>
              <w:top w:w="85" w:type="dxa"/>
              <w:start w:w="120" w:type="dxa"/>
              <w:bottom w:w="85" w:type="dxa"/>
              <w:end w:w="120" w:type="dxa"/>
            </w:tcMar>
            <w:vAlign w:val="center"/>
          </w:tcPr>
          <w:p>
            <w:pPr>
              <w:jc w:val="center"/>
            </w:pPr>
            <w:r>
              <w:rPr>
                <w:sz w:val="18"/>
              </w:rPr>
              <w:t>2.4 mm</w:t>
            </w:r>
          </w:p>
        </w:tc>
      </w:tr>
    </w:tbl>
    <w:p>
      <w:pPr>
        <w:spacing w:after="0"/>
      </w:pPr>
    </w:p>
    <w:p>
      <w:r>
        <w:t>The LMCA distal radius is computed from LAD and LCX proximal radii using the cube law. Radii must remain positive, finite, monotonic non-increasing, free of large adjacent jumps, and compatible with the cube-law relative tolerance. Radius values are not part of the 81-dimensional PCA.</w:t>
      </w:r>
    </w:p>
    <w:p>
      <w:pPr>
        <w:pStyle w:val="Heading2"/>
        <w:pageBreakBefore w:val="0"/>
      </w:pPr>
      <w:r>
        <w:t>7.2 Disease model</w:t>
      </w:r>
    </w:p>
    <w:tbl>
      <w:tblPr>
        <w:tblStyle w:val="TableGrid"/>
        <w:tblW w:type="dxa" w:w="9360"/>
        <w:tblLayout w:type="fixed"/>
        <w:tblLook w:firstColumn="1" w:firstRow="1" w:lastColumn="0" w:lastRow="0" w:noHBand="0" w:noVBand="1" w:val="04A0"/>
        <w:jc w:val="left"/>
        <w:tblInd w:w="0" w:type="dxa"/>
      </w:tblPr>
      <w:tblGrid>
        <w:gridCol w:w="1700"/>
        <w:gridCol w:w="4100"/>
        <w:gridCol w:w="3560"/>
      </w:tblGrid>
      <w:tr>
        <w:trPr>
          <w:cantSplit/>
          <w:tblHeader w:val="true"/>
          <w:cantSplit/>
        </w:trPr>
        <w:tc>
          <w:tcPr>
            <w:tcW w:type="dxa" w:w="1700"/>
            <w:tcMar>
              <w:top w:w="85" w:type="dxa"/>
              <w:start w:w="120" w:type="dxa"/>
              <w:bottom w:w="85" w:type="dxa"/>
              <w:end w:w="120" w:type="dxa"/>
            </w:tcMar>
            <w:vAlign w:val="center"/>
            <w:shd w:fill="EAF2FB"/>
          </w:tcPr>
          <w:p>
            <w:pPr>
              <w:jc w:val="center"/>
            </w:pPr>
            <w:r>
              <w:rPr>
                <w:b/>
                <w:sz w:val="18"/>
              </w:rPr>
              <w:t>Mode</w:t>
            </w:r>
          </w:p>
        </w:tc>
        <w:tc>
          <w:tcPr>
            <w:tcW w:type="dxa" w:w="4100"/>
            <w:tcMar>
              <w:top w:w="85" w:type="dxa"/>
              <w:start w:w="120" w:type="dxa"/>
              <w:bottom w:w="85" w:type="dxa"/>
              <w:end w:w="120" w:type="dxa"/>
            </w:tcMar>
            <w:vAlign w:val="center"/>
            <w:shd w:fill="EAF2FB"/>
          </w:tcPr>
          <w:p>
            <w:pPr>
              <w:jc w:val="center"/>
            </w:pPr>
            <w:r>
              <w:rPr>
                <w:b/>
                <w:sz w:val="18"/>
              </w:rPr>
              <w:t>Input semantics</w:t>
            </w:r>
          </w:p>
        </w:tc>
        <w:tc>
          <w:tcPr>
            <w:tcW w:type="dxa" w:w="3560"/>
            <w:tcMar>
              <w:top w:w="85" w:type="dxa"/>
              <w:start w:w="120" w:type="dxa"/>
              <w:bottom w:w="85" w:type="dxa"/>
              <w:end w:w="120" w:type="dxa"/>
            </w:tcMar>
            <w:vAlign w:val="center"/>
            <w:shd w:fill="EAF2FB"/>
          </w:tcPr>
          <w:p>
            <w:pPr>
              <w:jc w:val="center"/>
            </w:pPr>
            <w:r>
              <w:rPr>
                <w:b/>
                <w:sz w:val="18"/>
              </w:rPr>
              <w:t>Profile behavior</w:t>
            </w:r>
          </w:p>
        </w:tc>
      </w:tr>
      <w:tr>
        <w:trPr>
          <w:cantSplit/>
        </w:trPr>
        <w:tc>
          <w:tcPr>
            <w:tcW w:type="dxa" w:w="1700"/>
            <w:tcMar>
              <w:top w:w="85" w:type="dxa"/>
              <w:start w:w="120" w:type="dxa"/>
              <w:bottom w:w="85" w:type="dxa"/>
              <w:end w:w="120" w:type="dxa"/>
            </w:tcMar>
            <w:vAlign w:val="center"/>
          </w:tcPr>
          <w:p>
            <w:pPr>
              <w:jc w:val="left"/>
            </w:pPr>
            <w:r>
              <w:rPr>
                <w:sz w:val="18"/>
              </w:rPr>
              <w:t>Focal</w:t>
            </w:r>
          </w:p>
        </w:tc>
        <w:tc>
          <w:tcPr>
            <w:tcW w:type="dxa" w:w="4100"/>
            <w:tcMar>
              <w:top w:w="85" w:type="dxa"/>
              <w:start w:w="120" w:type="dxa"/>
              <w:bottom w:w="85" w:type="dxa"/>
              <w:end w:w="120" w:type="dxa"/>
            </w:tcMar>
            <w:vAlign w:val="center"/>
          </w:tcPr>
          <w:p>
            <w:pPr>
              <w:jc w:val="left"/>
            </w:pPr>
            <w:r>
              <w:rPr>
                <w:sz w:val="18"/>
              </w:rPr>
              <w:t>branch, center, normalized length, severity</w:t>
            </w:r>
          </w:p>
        </w:tc>
        <w:tc>
          <w:tcPr>
            <w:tcW w:type="dxa" w:w="3560"/>
            <w:tcMar>
              <w:top w:w="85" w:type="dxa"/>
              <w:start w:w="120" w:type="dxa"/>
              <w:bottom w:w="85" w:type="dxa"/>
              <w:end w:w="120" w:type="dxa"/>
            </w:tcMar>
            <w:vAlign w:val="center"/>
          </w:tcPr>
          <w:p>
            <w:pPr>
              <w:jc w:val="left"/>
            </w:pPr>
            <w:r>
              <w:rPr>
                <w:sz w:val="18"/>
              </w:rPr>
              <w:t>Smooth compact radius-reduction profile</w:t>
            </w:r>
          </w:p>
        </w:tc>
      </w:tr>
      <w:tr>
        <w:trPr>
          <w:cantSplit/>
        </w:trPr>
        <w:tc>
          <w:tcPr>
            <w:tcW w:type="dxa" w:w="1700"/>
            <w:tcMar>
              <w:top w:w="85" w:type="dxa"/>
              <w:start w:w="120" w:type="dxa"/>
              <w:bottom w:w="85" w:type="dxa"/>
              <w:end w:w="120" w:type="dxa"/>
            </w:tcMar>
            <w:vAlign w:val="center"/>
          </w:tcPr>
          <w:p>
            <w:pPr>
              <w:jc w:val="left"/>
            </w:pPr>
            <w:r>
              <w:rPr>
                <w:sz w:val="18"/>
              </w:rPr>
              <w:t>Diffuse</w:t>
            </w:r>
          </w:p>
        </w:tc>
        <w:tc>
          <w:tcPr>
            <w:tcW w:type="dxa" w:w="4100"/>
            <w:tcMar>
              <w:top w:w="85" w:type="dxa"/>
              <w:start w:w="120" w:type="dxa"/>
              <w:bottom w:w="85" w:type="dxa"/>
              <w:end w:w="120" w:type="dxa"/>
            </w:tcMar>
            <w:vAlign w:val="center"/>
          </w:tcPr>
          <w:p>
            <w:pPr>
              <w:jc w:val="left"/>
            </w:pPr>
            <w:r>
              <w:rPr>
                <w:sz w:val="18"/>
              </w:rPr>
              <w:t>branch, start/end derived from center and normalized length</w:t>
            </w:r>
          </w:p>
        </w:tc>
        <w:tc>
          <w:tcPr>
            <w:tcW w:type="dxa" w:w="3560"/>
            <w:tcMar>
              <w:top w:w="85" w:type="dxa"/>
              <w:start w:w="120" w:type="dxa"/>
              <w:bottom w:w="85" w:type="dxa"/>
              <w:end w:w="120" w:type="dxa"/>
            </w:tcMar>
            <w:vAlign w:val="center"/>
          </w:tcPr>
          <w:p>
            <w:pPr>
              <w:jc w:val="left"/>
            </w:pPr>
            <w:r>
              <w:rPr>
                <w:sz w:val="18"/>
              </w:rPr>
              <w:t>Smooth plateau with transitions</w:t>
            </w:r>
          </w:p>
        </w:tc>
      </w:tr>
      <w:tr>
        <w:trPr>
          <w:cantSplit/>
        </w:trPr>
        <w:tc>
          <w:tcPr>
            <w:tcW w:type="dxa" w:w="1700"/>
            <w:tcMar>
              <w:top w:w="85" w:type="dxa"/>
              <w:start w:w="120" w:type="dxa"/>
              <w:bottom w:w="85" w:type="dxa"/>
              <w:end w:w="120" w:type="dxa"/>
            </w:tcMar>
            <w:vAlign w:val="center"/>
          </w:tcPr>
          <w:p>
            <w:pPr>
              <w:jc w:val="left"/>
            </w:pPr>
            <w:r>
              <w:rPr>
                <w:sz w:val="18"/>
              </w:rPr>
              <w:t>Tandem</w:t>
            </w:r>
          </w:p>
        </w:tc>
        <w:tc>
          <w:tcPr>
            <w:tcW w:type="dxa" w:w="4100"/>
            <w:tcMar>
              <w:top w:w="85" w:type="dxa"/>
              <w:start w:w="120" w:type="dxa"/>
              <w:bottom w:w="85" w:type="dxa"/>
              <w:end w:w="120" w:type="dxa"/>
            </w:tcMar>
            <w:vAlign w:val="center"/>
          </w:tcPr>
          <w:p>
            <w:pPr>
              <w:jc w:val="left"/>
            </w:pPr>
            <w:r>
              <w:rPr>
                <w:sz w:val="18"/>
              </w:rPr>
              <w:t>multiple focal centers and sub-lesion lengths</w:t>
            </w:r>
          </w:p>
        </w:tc>
        <w:tc>
          <w:tcPr>
            <w:tcW w:type="dxa" w:w="3560"/>
            <w:tcMar>
              <w:top w:w="85" w:type="dxa"/>
              <w:start w:w="120" w:type="dxa"/>
              <w:bottom w:w="85" w:type="dxa"/>
              <w:end w:w="120" w:type="dxa"/>
            </w:tcMar>
            <w:vAlign w:val="center"/>
          </w:tcPr>
          <w:p>
            <w:pPr>
              <w:jc w:val="left"/>
            </w:pPr>
            <w:r>
              <w:rPr>
                <w:sz w:val="18"/>
              </w:rPr>
              <w:t>Composed focal lesions; overlap handled numerically</w:t>
            </w:r>
          </w:p>
        </w:tc>
      </w:tr>
    </w:tbl>
    <w:p>
      <w:pPr>
        <w:spacing w:after="0"/>
      </w:pPr>
    </w:p>
    <w:p>
      <w:r>
        <w:t>Severity is fractional radius reduction, not percentage area stenosis. Equivalent circular area reduction is 1 - (1 - radius_reduction)^2. Disease changes only the radius column and leaves all centerline XYZ coordinates identical to the healthy reference. Configurations are normalized by branch arc length and validated before and after application.</w:t>
      </w:r>
    </w:p>
    <w:p>
      <w:pPr>
        <w:pStyle w:val="Heading2"/>
        <w:pageBreakBefore/>
      </w:pPr>
      <w:r>
        <w:t>7.3 Cardiac motion</w:t>
      </w:r>
    </w:p>
    <w:tbl>
      <w:tblPr>
        <w:tblStyle w:val="TableGrid"/>
        <w:tblW w:type="dxa" w:w="9360"/>
        <w:tblLayout w:type="fixed"/>
        <w:tblLook w:firstColumn="1" w:firstRow="1" w:lastColumn="0" w:lastRow="0" w:noHBand="0" w:noVBand="1" w:val="04A0"/>
        <w:jc w:val="left"/>
        <w:tblInd w:w="0" w:type="dxa"/>
      </w:tblPr>
      <w:tblGrid>
        <w:gridCol w:w="2300"/>
        <w:gridCol w:w="1900"/>
        <w:gridCol w:w="5160"/>
      </w:tblGrid>
      <w:tr>
        <w:trPr>
          <w:cantSplit/>
          <w:tblHeader w:val="true"/>
          <w:cantSplit/>
        </w:trPr>
        <w:tc>
          <w:tcPr>
            <w:tcW w:type="dxa" w:w="2300"/>
            <w:tcMar>
              <w:top w:w="85" w:type="dxa"/>
              <w:start w:w="120" w:type="dxa"/>
              <w:bottom w:w="85" w:type="dxa"/>
              <w:end w:w="120" w:type="dxa"/>
            </w:tcMar>
            <w:vAlign w:val="center"/>
            <w:shd w:fill="EAF2FB"/>
          </w:tcPr>
          <w:p>
            <w:pPr>
              <w:jc w:val="center"/>
            </w:pPr>
            <w:r>
              <w:rPr>
                <w:b/>
                <w:sz w:val="18"/>
              </w:rPr>
              <w:t>Parameter</w:t>
            </w:r>
          </w:p>
        </w:tc>
        <w:tc>
          <w:tcPr>
            <w:tcW w:type="dxa" w:w="1900"/>
            <w:tcMar>
              <w:top w:w="85" w:type="dxa"/>
              <w:start w:w="120" w:type="dxa"/>
              <w:bottom w:w="85" w:type="dxa"/>
              <w:end w:w="120" w:type="dxa"/>
            </w:tcMar>
            <w:vAlign w:val="center"/>
            <w:shd w:fill="EAF2FB"/>
          </w:tcPr>
          <w:p>
            <w:pPr>
              <w:jc w:val="center"/>
            </w:pPr>
            <w:r>
              <w:rPr>
                <w:b/>
                <w:sz w:val="18"/>
              </w:rPr>
              <w:t>Final default</w:t>
            </w:r>
          </w:p>
        </w:tc>
        <w:tc>
          <w:tcPr>
            <w:tcW w:type="dxa" w:w="5160"/>
            <w:tcMar>
              <w:top w:w="85" w:type="dxa"/>
              <w:start w:w="120" w:type="dxa"/>
              <w:bottom w:w="85" w:type="dxa"/>
              <w:end w:w="120" w:type="dxa"/>
            </w:tcMar>
            <w:vAlign w:val="center"/>
            <w:shd w:fill="EAF2FB"/>
          </w:tcPr>
          <w:p>
            <w:pPr>
              <w:jc w:val="center"/>
            </w:pPr>
            <w:r>
              <w:rPr>
                <w:b/>
                <w:sz w:val="18"/>
              </w:rPr>
              <w:t>Role</w:t>
            </w:r>
          </w:p>
        </w:tc>
      </w:tr>
      <w:tr>
        <w:trPr>
          <w:cantSplit/>
        </w:trPr>
        <w:tc>
          <w:tcPr>
            <w:tcW w:type="dxa" w:w="2300"/>
            <w:tcMar>
              <w:top w:w="85" w:type="dxa"/>
              <w:start w:w="120" w:type="dxa"/>
              <w:bottom w:w="85" w:type="dxa"/>
              <w:end w:w="120" w:type="dxa"/>
            </w:tcMar>
            <w:vAlign w:val="center"/>
          </w:tcPr>
          <w:p>
            <w:pPr>
              <w:jc w:val="left"/>
            </w:pPr>
            <w:r>
              <w:rPr>
                <w:sz w:val="18"/>
              </w:rPr>
              <w:t>Phases</w:t>
            </w:r>
          </w:p>
        </w:tc>
        <w:tc>
          <w:tcPr>
            <w:tcW w:type="dxa" w:w="1900"/>
            <w:tcMar>
              <w:top w:w="85" w:type="dxa"/>
              <w:start w:w="120" w:type="dxa"/>
              <w:bottom w:w="85" w:type="dxa"/>
              <w:end w:w="120" w:type="dxa"/>
            </w:tcMar>
            <w:vAlign w:val="center"/>
          </w:tcPr>
          <w:p>
            <w:pPr>
              <w:jc w:val="left"/>
            </w:pPr>
            <w:r>
              <w:rPr>
                <w:sz w:val="18"/>
              </w:rPr>
              <w:t>10 including phase 0 and repeated phase 1</w:t>
            </w:r>
          </w:p>
        </w:tc>
        <w:tc>
          <w:tcPr>
            <w:tcW w:type="dxa" w:w="5160"/>
            <w:tcMar>
              <w:top w:w="85" w:type="dxa"/>
              <w:start w:w="120" w:type="dxa"/>
              <w:bottom w:w="85" w:type="dxa"/>
              <w:end w:w="120" w:type="dxa"/>
            </w:tcMar>
            <w:vAlign w:val="center"/>
          </w:tcPr>
          <w:p>
            <w:pPr>
              <w:jc w:val="left"/>
            </w:pPr>
            <w:r>
              <w:rPr>
                <w:sz w:val="18"/>
              </w:rPr>
              <w:t>Exactly closed animation cycle</w:t>
            </w:r>
          </w:p>
        </w:tc>
      </w:tr>
      <w:tr>
        <w:trPr>
          <w:cantSplit/>
        </w:trPr>
        <w:tc>
          <w:tcPr>
            <w:tcW w:type="dxa" w:w="2300"/>
            <w:tcMar>
              <w:top w:w="85" w:type="dxa"/>
              <w:start w:w="120" w:type="dxa"/>
              <w:bottom w:w="85" w:type="dxa"/>
              <w:end w:w="120" w:type="dxa"/>
            </w:tcMar>
            <w:vAlign w:val="center"/>
          </w:tcPr>
          <w:p>
            <w:pPr>
              <w:jc w:val="left"/>
            </w:pPr>
            <w:r>
              <w:rPr>
                <w:sz w:val="18"/>
              </w:rPr>
              <w:t>Radial contraction</w:t>
            </w:r>
          </w:p>
        </w:tc>
        <w:tc>
          <w:tcPr>
            <w:tcW w:type="dxa" w:w="1900"/>
            <w:tcMar>
              <w:top w:w="85" w:type="dxa"/>
              <w:start w:w="120" w:type="dxa"/>
              <w:bottom w:w="85" w:type="dxa"/>
              <w:end w:w="120" w:type="dxa"/>
            </w:tcMar>
            <w:vAlign w:val="center"/>
          </w:tcPr>
          <w:p>
            <w:pPr>
              <w:jc w:val="center"/>
            </w:pPr>
            <w:r>
              <w:rPr>
                <w:sz w:val="18"/>
              </w:rPr>
              <w:t>14%</w:t>
            </w:r>
          </w:p>
        </w:tc>
        <w:tc>
          <w:tcPr>
            <w:tcW w:type="dxa" w:w="5160"/>
            <w:tcMar>
              <w:top w:w="85" w:type="dxa"/>
              <w:start w:w="120" w:type="dxa"/>
              <w:bottom w:w="85" w:type="dxa"/>
              <w:end w:w="120" w:type="dxa"/>
            </w:tcMar>
            <w:vAlign w:val="center"/>
          </w:tcPr>
          <w:p>
            <w:pPr>
              <w:jc w:val="left"/>
            </w:pPr>
            <w:r>
              <w:rPr>
                <w:sz w:val="18"/>
              </w:rPr>
              <w:t>Ellipsoid a/b contraction; calibrated to keep representative maximum below 8 mm</w:t>
            </w:r>
          </w:p>
        </w:tc>
      </w:tr>
      <w:tr>
        <w:trPr>
          <w:cantSplit/>
        </w:trPr>
        <w:tc>
          <w:tcPr>
            <w:tcW w:type="dxa" w:w="2300"/>
            <w:tcMar>
              <w:top w:w="85" w:type="dxa"/>
              <w:start w:w="120" w:type="dxa"/>
              <w:bottom w:w="85" w:type="dxa"/>
              <w:end w:w="120" w:type="dxa"/>
            </w:tcMar>
            <w:vAlign w:val="center"/>
          </w:tcPr>
          <w:p>
            <w:pPr>
              <w:jc w:val="left"/>
            </w:pPr>
            <w:r>
              <w:rPr>
                <w:sz w:val="18"/>
              </w:rPr>
              <w:t>Longitudinal shortening</w:t>
            </w:r>
          </w:p>
        </w:tc>
        <w:tc>
          <w:tcPr>
            <w:tcW w:type="dxa" w:w="1900"/>
            <w:tcMar>
              <w:top w:w="85" w:type="dxa"/>
              <w:start w:w="120" w:type="dxa"/>
              <w:bottom w:w="85" w:type="dxa"/>
              <w:end w:w="120" w:type="dxa"/>
            </w:tcMar>
            <w:vAlign w:val="center"/>
          </w:tcPr>
          <w:p>
            <w:pPr>
              <w:jc w:val="center"/>
            </w:pPr>
            <w:r>
              <w:rPr>
                <w:sz w:val="18"/>
              </w:rPr>
              <w:t>10%</w:t>
            </w:r>
          </w:p>
        </w:tc>
        <w:tc>
          <w:tcPr>
            <w:tcW w:type="dxa" w:w="5160"/>
            <w:tcMar>
              <w:top w:w="85" w:type="dxa"/>
              <w:start w:w="120" w:type="dxa"/>
              <w:bottom w:w="85" w:type="dxa"/>
              <w:end w:w="120" w:type="dxa"/>
            </w:tcMar>
            <w:vAlign w:val="center"/>
          </w:tcPr>
          <w:p>
            <w:pPr>
              <w:jc w:val="center"/>
            </w:pPr>
            <w:r>
              <w:rPr>
                <w:sz w:val="18"/>
              </w:rPr>
              <w:t>Ellipsoid c shortening</w:t>
            </w:r>
          </w:p>
        </w:tc>
      </w:tr>
      <w:tr>
        <w:trPr>
          <w:cantSplit/>
        </w:trPr>
        <w:tc>
          <w:tcPr>
            <w:tcW w:type="dxa" w:w="2300"/>
            <w:tcMar>
              <w:top w:w="85" w:type="dxa"/>
              <w:start w:w="120" w:type="dxa"/>
              <w:bottom w:w="85" w:type="dxa"/>
              <w:end w:w="120" w:type="dxa"/>
            </w:tcMar>
            <w:vAlign w:val="center"/>
          </w:tcPr>
          <w:p>
            <w:pPr>
              <w:jc w:val="left"/>
            </w:pPr>
            <w:r>
              <w:rPr>
                <w:sz w:val="18"/>
              </w:rPr>
              <w:t>Base-to-apex torsion</w:t>
            </w:r>
          </w:p>
        </w:tc>
        <w:tc>
          <w:tcPr>
            <w:tcW w:type="dxa" w:w="1900"/>
            <w:tcMar>
              <w:top w:w="85" w:type="dxa"/>
              <w:start w:w="120" w:type="dxa"/>
              <w:bottom w:w="85" w:type="dxa"/>
              <w:end w:w="120" w:type="dxa"/>
            </w:tcMar>
            <w:vAlign w:val="center"/>
          </w:tcPr>
          <w:p>
            <w:pPr>
              <w:jc w:val="center"/>
            </w:pPr>
            <w:r>
              <w:rPr>
                <w:sz w:val="18"/>
              </w:rPr>
              <w:t>10 degrees</w:t>
            </w:r>
          </w:p>
        </w:tc>
        <w:tc>
          <w:tcPr>
            <w:tcW w:type="dxa" w:w="5160"/>
            <w:tcMar>
              <w:top w:w="85" w:type="dxa"/>
              <w:start w:w="120" w:type="dxa"/>
              <w:bottom w:w="85" w:type="dxa"/>
              <w:end w:w="120" w:type="dxa"/>
            </w:tcMar>
            <w:vAlign w:val="center"/>
          </w:tcPr>
          <w:p>
            <w:pPr>
              <w:jc w:val="left"/>
            </w:pPr>
            <w:r>
              <w:rPr>
                <w:sz w:val="18"/>
              </w:rPr>
              <w:t>Phase-conditioned longitudinal torsion gradient</w:t>
            </w:r>
          </w:p>
        </w:tc>
      </w:tr>
      <w:tr>
        <w:trPr>
          <w:cantSplit/>
        </w:trPr>
        <w:tc>
          <w:tcPr>
            <w:tcW w:type="dxa" w:w="2300"/>
            <w:tcMar>
              <w:top w:w="85" w:type="dxa"/>
              <w:start w:w="120" w:type="dxa"/>
              <w:bottom w:w="85" w:type="dxa"/>
              <w:end w:w="120" w:type="dxa"/>
            </w:tcMar>
            <w:vAlign w:val="center"/>
          </w:tcPr>
          <w:p>
            <w:pPr>
              <w:jc w:val="left"/>
            </w:pPr>
            <w:r>
              <w:rPr>
                <w:sz w:val="18"/>
              </w:rPr>
              <w:t>Peak phase</w:t>
            </w:r>
          </w:p>
        </w:tc>
        <w:tc>
          <w:tcPr>
            <w:tcW w:type="dxa" w:w="1900"/>
            <w:tcMar>
              <w:top w:w="85" w:type="dxa"/>
              <w:start w:w="120" w:type="dxa"/>
              <w:bottom w:w="85" w:type="dxa"/>
              <w:end w:w="120" w:type="dxa"/>
            </w:tcMar>
            <w:vAlign w:val="center"/>
          </w:tcPr>
          <w:p>
            <w:pPr>
              <w:jc w:val="center"/>
            </w:pPr>
            <w:r>
              <w:rPr>
                <w:sz w:val="18"/>
              </w:rPr>
              <w:t>0.35</w:t>
            </w:r>
          </w:p>
        </w:tc>
        <w:tc>
          <w:tcPr>
            <w:tcW w:type="dxa" w:w="5160"/>
            <w:tcMar>
              <w:top w:w="85" w:type="dxa"/>
              <w:start w:w="120" w:type="dxa"/>
              <w:bottom w:w="85" w:type="dxa"/>
              <w:end w:w="120" w:type="dxa"/>
            </w:tcMar>
            <w:vAlign w:val="center"/>
          </w:tcPr>
          <w:p>
            <w:pPr>
              <w:jc w:val="left"/>
            </w:pPr>
            <w:r>
              <w:rPr>
                <w:sz w:val="18"/>
              </w:rPr>
              <w:t>Peak systolic contraction response</w:t>
            </w:r>
          </w:p>
        </w:tc>
      </w:tr>
      <w:tr>
        <w:trPr>
          <w:cantSplit/>
        </w:trPr>
        <w:tc>
          <w:tcPr>
            <w:tcW w:type="dxa" w:w="2300"/>
            <w:tcMar>
              <w:top w:w="85" w:type="dxa"/>
              <w:start w:w="120" w:type="dxa"/>
              <w:bottom w:w="85" w:type="dxa"/>
              <w:end w:w="120" w:type="dxa"/>
            </w:tcMar>
            <w:vAlign w:val="center"/>
          </w:tcPr>
          <w:p>
            <w:pPr>
              <w:jc w:val="left"/>
            </w:pPr>
            <w:r>
              <w:rPr>
                <w:sz w:val="18"/>
              </w:rPr>
              <w:t>Heart rate</w:t>
            </w:r>
          </w:p>
        </w:tc>
        <w:tc>
          <w:tcPr>
            <w:tcW w:type="dxa" w:w="1900"/>
            <w:tcMar>
              <w:top w:w="85" w:type="dxa"/>
              <w:start w:w="120" w:type="dxa"/>
              <w:bottom w:w="85" w:type="dxa"/>
              <w:end w:w="120" w:type="dxa"/>
            </w:tcMar>
            <w:vAlign w:val="center"/>
          </w:tcPr>
          <w:p>
            <w:pPr>
              <w:jc w:val="center"/>
            </w:pPr>
            <w:r>
              <w:rPr>
                <w:sz w:val="18"/>
              </w:rPr>
              <w:t>60 bpm</w:t>
            </w:r>
          </w:p>
        </w:tc>
        <w:tc>
          <w:tcPr>
            <w:tcW w:type="dxa" w:w="5160"/>
            <w:tcMar>
              <w:top w:w="85" w:type="dxa"/>
              <w:start w:w="120" w:type="dxa"/>
              <w:bottom w:w="85" w:type="dxa"/>
              <w:end w:w="120" w:type="dxa"/>
            </w:tcMar>
            <w:vAlign w:val="center"/>
          </w:tcPr>
          <w:p>
            <w:pPr>
              <w:jc w:val="left"/>
            </w:pPr>
            <w:r>
              <w:rPr>
                <w:sz w:val="18"/>
              </w:rPr>
              <w:t>Maps normalized phase to a 1-second period</w:t>
            </w:r>
          </w:p>
        </w:tc>
      </w:tr>
    </w:tbl>
    <w:p>
      <w:pPr>
        <w:spacing w:after="0"/>
      </w:pPr>
    </w:p>
    <w:p>
      <w:r>
        <w:t>Every reference point is projected to the ellipsoid/local basis and reconstructed on the deformed surface. The shared bifurcation is re-snapped at every phase. Temporal correspondence is exact: the same branch and point indices describe the same modeled material locations throughout the cycle.</w:t>
      </w:r>
    </w:p>
    <w:p>
      <w:pPr>
        <w:pStyle w:val="Heading2"/>
        <w:pageBreakBefore w:val="0"/>
      </w:pPr>
      <w:r>
        <w:t>7.4 Pulsatility and local compliance</w:t>
      </w:r>
    </w:p>
    <w:p>
      <w:r>
        <w:t>The diseased reference radius is treated as end-diastolic. Geometric motion peaks at phase 0.35, while the separate coronary pulse response peaks in early diastole at phase 0.60. Healthy epicardial lumen radius expands by up to 3% at that modeled pulse peak. At the maximum lesion, pulsatility amplitude is multiplied by 0.35 and blended continuously using the local lesion-reduction profile. This is a scalar compliance approximation; it does not represent anisodiametric wall motion or coupled pressure mechanics.</w:t>
      </w:r>
    </w:p>
    <w:p>
      <w:pPr>
        <w:keepNext/>
        <w:jc w:val="center"/>
      </w:pPr>
      <w:r>
        <w:drawing>
          <wp:inline xmlns:a="http://schemas.openxmlformats.org/drawingml/2006/main" xmlns:pic="http://schemas.openxmlformats.org/drawingml/2006/picture">
            <wp:extent cx="5806440" cy="4838700"/>
            <wp:docPr id="6" name="Picture 6" title="Figure 4. Population motion QC: contraction function, scaffold axes, LAD length variation, and exact junction error." descr="Figure 4. Population motion QC: contraction function, scaffold axes, LAD length variation, and exact junction error."/>
            <wp:cNvGraphicFramePr>
              <a:graphicFrameLocks noChangeAspect="1"/>
            </wp:cNvGraphicFramePr>
            <a:graphic>
              <a:graphicData uri="http://schemas.openxmlformats.org/drawingml/2006/picture">
                <pic:pic>
                  <pic:nvPicPr>
                    <pic:cNvPr id="0" name="qc_visualization_4d.png"/>
                    <pic:cNvPicPr/>
                  </pic:nvPicPr>
                  <pic:blipFill>
                    <a:blip r:embed="rId16"/>
                    <a:stretch>
                      <a:fillRect/>
                    </a:stretch>
                  </pic:blipFill>
                  <pic:spPr>
                    <a:xfrm>
                      <a:off x="0" y="0"/>
                      <a:ext cx="5806440" cy="4838700"/>
                    </a:xfrm>
                    <a:prstGeom prst="rect"/>
                  </pic:spPr>
                </pic:pic>
              </a:graphicData>
            </a:graphic>
          </wp:inline>
        </w:drawing>
      </w:r>
    </w:p>
    <w:p>
      <w:pPr>
        <w:pStyle w:val="Caption"/>
        <w:keepNext w:val="0"/>
        <w:jc w:val="center"/>
      </w:pPr>
      <w:r>
        <w:rPr>
          <w:i/>
        </w:rPr>
        <w:t>Figure 4. Population motion QC: contraction function, scaffold axes, LAD length variation, and exact junction error.</w:t>
      </w:r>
    </w:p>
    <w:p>
      <w:pPr>
        <w:pStyle w:val="Heading1"/>
        <w:pageBreakBefore/>
      </w:pPr>
      <w:r>
        <w:t>8. Output contract, visualization, and operating workflow</w:t>
      </w:r>
    </w:p>
    <w:tbl>
      <w:tblPr>
        <w:tblStyle w:val="TableGrid"/>
        <w:tblW w:type="dxa" w:w="9360"/>
        <w:tblLayout w:type="fixed"/>
        <w:tblLook w:firstColumn="1" w:firstRow="1" w:lastColumn="0" w:lastRow="0" w:noHBand="0" w:noVBand="1" w:val="04A0"/>
        <w:jc w:val="left"/>
        <w:tblInd w:w="0" w:type="dxa"/>
      </w:tblPr>
      <w:tblGrid>
        <w:gridCol w:w="3000"/>
        <w:gridCol w:w="6360"/>
      </w:tblGrid>
      <w:tr>
        <w:trPr>
          <w:cantSplit/>
          <w:tblHeader w:val="true"/>
          <w:cantSplit/>
        </w:trPr>
        <w:tc>
          <w:tcPr>
            <w:tcW w:type="dxa" w:w="3000"/>
            <w:tcMar>
              <w:top w:w="85" w:type="dxa"/>
              <w:start w:w="120" w:type="dxa"/>
              <w:bottom w:w="85" w:type="dxa"/>
              <w:end w:w="120" w:type="dxa"/>
            </w:tcMar>
            <w:vAlign w:val="center"/>
            <w:shd w:fill="EAF2FB"/>
          </w:tcPr>
          <w:p>
            <w:pPr>
              <w:jc w:val="center"/>
            </w:pPr>
            <w:r>
              <w:rPr>
                <w:b/>
                <w:sz w:val="17"/>
              </w:rPr>
              <w:t>Artifact</w:t>
            </w:r>
          </w:p>
        </w:tc>
        <w:tc>
          <w:tcPr>
            <w:tcW w:type="dxa" w:w="6360"/>
            <w:tcMar>
              <w:top w:w="85" w:type="dxa"/>
              <w:start w:w="120" w:type="dxa"/>
              <w:bottom w:w="85" w:type="dxa"/>
              <w:end w:w="120" w:type="dxa"/>
            </w:tcMar>
            <w:vAlign w:val="center"/>
            <w:shd w:fill="EAF2FB"/>
          </w:tcPr>
          <w:p>
            <w:pPr>
              <w:jc w:val="center"/>
            </w:pPr>
            <w:r>
              <w:rPr>
                <w:b/>
                <w:sz w:val="17"/>
              </w:rPr>
              <w:t>Shape or purpose</w:t>
            </w:r>
          </w:p>
        </w:tc>
      </w:tr>
      <w:tr>
        <w:trPr>
          <w:cantSplit/>
        </w:trPr>
        <w:tc>
          <w:tcPr>
            <w:tcW w:type="dxa" w:w="3000"/>
            <w:tcMar>
              <w:top w:w="85" w:type="dxa"/>
              <w:start w:w="120" w:type="dxa"/>
              <w:bottom w:w="85" w:type="dxa"/>
              <w:end w:w="120" w:type="dxa"/>
            </w:tcMar>
            <w:vAlign w:val="center"/>
          </w:tcPr>
          <w:p>
            <w:pPr>
              <w:jc w:val="left"/>
            </w:pPr>
            <w:r>
              <w:rPr>
                <w:sz w:val="17"/>
              </w:rPr>
              <w:t>geometry_cine.npy</w:t>
            </w:r>
          </w:p>
        </w:tc>
        <w:tc>
          <w:tcPr>
            <w:tcW w:type="dxa" w:w="6360"/>
            <w:tcMar>
              <w:top w:w="85" w:type="dxa"/>
              <w:start w:w="120" w:type="dxa"/>
              <w:bottom w:w="85" w:type="dxa"/>
              <w:end w:w="120" w:type="dxa"/>
            </w:tcMar>
            <w:vAlign w:val="center"/>
          </w:tcPr>
          <w:p>
            <w:pPr>
              <w:jc w:val="left"/>
            </w:pPr>
            <w:r>
              <w:rPr>
                <w:sz w:val="17"/>
              </w:rPr>
              <w:t>(phase, branch, point, 4) float array ordered x_mm, y_mm, z_mm, radius_mm</w:t>
            </w:r>
          </w:p>
        </w:tc>
      </w:tr>
      <w:tr>
        <w:trPr>
          <w:cantSplit/>
        </w:trPr>
        <w:tc>
          <w:tcPr>
            <w:tcW w:type="dxa" w:w="3000"/>
            <w:tcMar>
              <w:top w:w="85" w:type="dxa"/>
              <w:start w:w="120" w:type="dxa"/>
              <w:bottom w:w="85" w:type="dxa"/>
              <w:end w:w="120" w:type="dxa"/>
            </w:tcMar>
            <w:vAlign w:val="center"/>
          </w:tcPr>
          <w:p>
            <w:pPr>
              <w:jc w:val="left"/>
            </w:pPr>
            <w:r>
              <w:rPr>
                <w:sz w:val="17"/>
              </w:rPr>
              <w:t>geometry_static.npy</w:t>
            </w:r>
          </w:p>
        </w:tc>
        <w:tc>
          <w:tcPr>
            <w:tcW w:type="dxa" w:w="6360"/>
            <w:tcMar>
              <w:top w:w="85" w:type="dxa"/>
              <w:start w:w="120" w:type="dxa"/>
              <w:bottom w:w="85" w:type="dxa"/>
              <w:end w:w="120" w:type="dxa"/>
            </w:tcMar>
            <w:vAlign w:val="center"/>
          </w:tcPr>
          <w:p>
            <w:pPr>
              <w:jc w:val="left"/>
            </w:pPr>
            <w:r>
              <w:rPr>
                <w:sz w:val="17"/>
              </w:rPr>
              <w:t>Reference/phase-zero fixed-size (branch, point, 4) array</w:t>
            </w:r>
          </w:p>
        </w:tc>
      </w:tr>
      <w:tr>
        <w:trPr>
          <w:cantSplit/>
        </w:trPr>
        <w:tc>
          <w:tcPr>
            <w:tcW w:type="dxa" w:w="3000"/>
            <w:tcMar>
              <w:top w:w="85" w:type="dxa"/>
              <w:start w:w="120" w:type="dxa"/>
              <w:bottom w:w="85" w:type="dxa"/>
              <w:end w:w="120" w:type="dxa"/>
            </w:tcMar>
            <w:vAlign w:val="center"/>
          </w:tcPr>
          <w:p>
            <w:pPr>
              <w:jc w:val="left"/>
            </w:pPr>
            <w:r>
              <w:rPr>
                <w:sz w:val="17"/>
              </w:rPr>
              <w:t>coronary_tree_4d.npz</w:t>
            </w:r>
          </w:p>
        </w:tc>
        <w:tc>
          <w:tcPr>
            <w:tcW w:type="dxa" w:w="6360"/>
            <w:tcMar>
              <w:top w:w="85" w:type="dxa"/>
              <w:start w:w="120" w:type="dxa"/>
              <w:bottom w:w="85" w:type="dxa"/>
              <w:end w:w="120" w:type="dxa"/>
            </w:tcMar>
            <w:vAlign w:val="center"/>
          </w:tcPr>
          <w:p>
            <w:pPr>
              <w:jc w:val="left"/>
            </w:pPr>
            <w:r>
              <w:rPr>
                <w:sz w:val="17"/>
              </w:rPr>
              <w:t>Compressed tensor plus phase, time, branch, and coordinate labels</w:t>
            </w:r>
          </w:p>
        </w:tc>
      </w:tr>
      <w:tr>
        <w:trPr>
          <w:cantSplit/>
        </w:trPr>
        <w:tc>
          <w:tcPr>
            <w:tcW w:type="dxa" w:w="3000"/>
            <w:tcMar>
              <w:top w:w="85" w:type="dxa"/>
              <w:start w:w="120" w:type="dxa"/>
              <w:bottom w:w="85" w:type="dxa"/>
              <w:end w:w="120" w:type="dxa"/>
            </w:tcMar>
            <w:vAlign w:val="center"/>
          </w:tcPr>
          <w:p>
            <w:pPr>
              <w:jc w:val="left"/>
            </w:pPr>
            <w:r>
              <w:rPr>
                <w:sz w:val="17"/>
              </w:rPr>
              <w:t>geometry_healthy_reference.npy</w:t>
            </w:r>
          </w:p>
        </w:tc>
        <w:tc>
          <w:tcPr>
            <w:tcW w:type="dxa" w:w="6360"/>
            <w:tcMar>
              <w:top w:w="85" w:type="dxa"/>
              <w:start w:w="120" w:type="dxa"/>
              <w:bottom w:w="85" w:type="dxa"/>
              <w:end w:w="120" w:type="dxa"/>
            </w:tcMar>
            <w:vAlign w:val="center"/>
          </w:tcPr>
          <w:p>
            <w:pPr>
              <w:jc w:val="left"/>
            </w:pPr>
            <w:r>
              <w:rPr>
                <w:sz w:val="17"/>
              </w:rPr>
              <w:t>Healthy radius reference used to quantify disease</w:t>
            </w:r>
          </w:p>
        </w:tc>
      </w:tr>
      <w:tr>
        <w:trPr>
          <w:cantSplit/>
        </w:trPr>
        <w:tc>
          <w:tcPr>
            <w:tcW w:type="dxa" w:w="3000"/>
            <w:tcMar>
              <w:top w:w="85" w:type="dxa"/>
              <w:start w:w="120" w:type="dxa"/>
              <w:bottom w:w="85" w:type="dxa"/>
              <w:end w:w="120" w:type="dxa"/>
            </w:tcMar>
            <w:vAlign w:val="center"/>
          </w:tcPr>
          <w:p>
            <w:pPr>
              <w:jc w:val="left"/>
            </w:pPr>
            <w:r>
              <w:rPr>
                <w:sz w:val="17"/>
              </w:rPr>
              <w:t>disease_reduction.npy</w:t>
            </w:r>
          </w:p>
        </w:tc>
        <w:tc>
          <w:tcPr>
            <w:tcW w:type="dxa" w:w="6360"/>
            <w:tcMar>
              <w:top w:w="85" w:type="dxa"/>
              <w:start w:w="120" w:type="dxa"/>
              <w:bottom w:w="85" w:type="dxa"/>
              <w:end w:w="120" w:type="dxa"/>
            </w:tcMar>
            <w:vAlign w:val="center"/>
          </w:tcPr>
          <w:p>
            <w:pPr>
              <w:jc w:val="left"/>
            </w:pPr>
            <w:r>
              <w:rPr>
                <w:sz w:val="17"/>
              </w:rPr>
              <w:t>Pointwise fractional radius-reduction array</w:t>
            </w:r>
          </w:p>
        </w:tc>
      </w:tr>
      <w:tr>
        <w:trPr>
          <w:cantSplit/>
        </w:trPr>
        <w:tc>
          <w:tcPr>
            <w:tcW w:type="dxa" w:w="3000"/>
            <w:tcMar>
              <w:top w:w="85" w:type="dxa"/>
              <w:start w:w="120" w:type="dxa"/>
              <w:bottom w:w="85" w:type="dxa"/>
              <w:end w:w="120" w:type="dxa"/>
            </w:tcMar>
            <w:vAlign w:val="center"/>
          </w:tcPr>
          <w:p>
            <w:pPr>
              <w:jc w:val="left"/>
            </w:pPr>
            <w:r>
              <w:rPr>
                <w:sz w:val="17"/>
              </w:rPr>
              <w:t>metadata.json</w:t>
            </w:r>
          </w:p>
        </w:tc>
        <w:tc>
          <w:tcPr>
            <w:tcW w:type="dxa" w:w="6360"/>
            <w:tcMar>
              <w:top w:w="85" w:type="dxa"/>
              <w:start w:w="120" w:type="dxa"/>
              <w:bottom w:w="85" w:type="dxa"/>
              <w:end w:w="120" w:type="dxa"/>
            </w:tcMar>
            <w:vAlign w:val="center"/>
          </w:tcPr>
          <w:p>
            <w:pPr>
              <w:jc w:val="left"/>
            </w:pPr>
            <w:r>
              <w:rPr>
                <w:sz w:val="17"/>
              </w:rPr>
              <w:t>Configuration, provenance, model, disease, motion, pulsatility, and validation</w:t>
            </w:r>
          </w:p>
        </w:tc>
      </w:tr>
      <w:tr>
        <w:trPr>
          <w:cantSplit/>
        </w:trPr>
        <w:tc>
          <w:tcPr>
            <w:tcW w:type="dxa" w:w="3000"/>
            <w:tcMar>
              <w:top w:w="85" w:type="dxa"/>
              <w:start w:w="120" w:type="dxa"/>
              <w:bottom w:w="85" w:type="dxa"/>
              <w:end w:w="120" w:type="dxa"/>
            </w:tcMar>
            <w:vAlign w:val="center"/>
          </w:tcPr>
          <w:p>
            <w:pPr>
              <w:jc w:val="left"/>
            </w:pPr>
            <w:r>
              <w:rPr>
                <w:sz w:val="17"/>
              </w:rPr>
              <w:t>graph.json</w:t>
            </w:r>
          </w:p>
        </w:tc>
        <w:tc>
          <w:tcPr>
            <w:tcW w:type="dxa" w:w="6360"/>
            <w:tcMar>
              <w:top w:w="85" w:type="dxa"/>
              <w:start w:w="120" w:type="dxa"/>
              <w:bottom w:w="85" w:type="dxa"/>
              <w:end w:w="120" w:type="dxa"/>
            </w:tcMar>
            <w:vAlign w:val="center"/>
          </w:tcPr>
          <w:p>
            <w:pPr>
              <w:jc w:val="left"/>
            </w:pPr>
            <w:r>
              <w:rPr>
                <w:sz w:val="17"/>
              </w:rPr>
              <w:t>Directed LMCA-to-LAD/LCX hierarchy and branch attributes</w:t>
            </w:r>
          </w:p>
        </w:tc>
      </w:tr>
      <w:tr>
        <w:trPr>
          <w:cantSplit/>
        </w:trPr>
        <w:tc>
          <w:tcPr>
            <w:tcW w:type="dxa" w:w="3000"/>
            <w:tcMar>
              <w:top w:w="85" w:type="dxa"/>
              <w:start w:w="120" w:type="dxa"/>
              <w:bottom w:w="85" w:type="dxa"/>
              <w:end w:w="120" w:type="dxa"/>
            </w:tcMar>
            <w:vAlign w:val="center"/>
          </w:tcPr>
          <w:p>
            <w:pPr>
              <w:jc w:val="left"/>
            </w:pPr>
            <w:r>
              <w:rPr>
                <w:sz w:val="17"/>
              </w:rPr>
              <w:t>manifest.json</w:t>
            </w:r>
          </w:p>
        </w:tc>
        <w:tc>
          <w:tcPr>
            <w:tcW w:type="dxa" w:w="6360"/>
            <w:tcMar>
              <w:top w:w="85" w:type="dxa"/>
              <w:start w:w="120" w:type="dxa"/>
              <w:bottom w:w="85" w:type="dxa"/>
              <w:end w:w="120" w:type="dxa"/>
            </w:tcMar>
            <w:vAlign w:val="center"/>
          </w:tcPr>
          <w:p>
            <w:pPr>
              <w:jc w:val="left"/>
            </w:pPr>
            <w:r>
              <w:rPr>
                <w:sz w:val="17"/>
              </w:rPr>
              <w:t>Shapes, SHA-256 checksums, validation status, and VTK readback evidence</w:t>
            </w:r>
          </w:p>
        </w:tc>
      </w:tr>
      <w:tr>
        <w:trPr>
          <w:cantSplit/>
        </w:trPr>
        <w:tc>
          <w:tcPr>
            <w:tcW w:type="dxa" w:w="3000"/>
            <w:tcMar>
              <w:top w:w="85" w:type="dxa"/>
              <w:start w:w="120" w:type="dxa"/>
              <w:bottom w:w="85" w:type="dxa"/>
              <w:end w:w="120" w:type="dxa"/>
            </w:tcMar>
            <w:vAlign w:val="center"/>
          </w:tcPr>
          <w:p>
            <w:pPr>
              <w:jc w:val="left"/>
            </w:pPr>
            <w:r>
              <w:rPr>
                <w:sz w:val="17"/>
              </w:rPr>
              <w:t>vtk/cine.pvd</w:t>
            </w:r>
          </w:p>
        </w:tc>
        <w:tc>
          <w:tcPr>
            <w:tcW w:type="dxa" w:w="6360"/>
            <w:tcMar>
              <w:top w:w="85" w:type="dxa"/>
              <w:start w:w="120" w:type="dxa"/>
              <w:bottom w:w="85" w:type="dxa"/>
              <w:end w:w="120" w:type="dxa"/>
            </w:tcMar>
            <w:vAlign w:val="center"/>
          </w:tcPr>
          <w:p>
            <w:pPr>
              <w:jc w:val="left"/>
            </w:pPr>
            <w:r>
              <w:rPr>
                <w:sz w:val="17"/>
              </w:rPr>
              <w:t>ParaView time-series entry point with one VTM per phase</w:t>
            </w:r>
          </w:p>
        </w:tc>
      </w:tr>
      <w:tr>
        <w:trPr>
          <w:cantSplit/>
        </w:trPr>
        <w:tc>
          <w:tcPr>
            <w:tcW w:type="dxa" w:w="3000"/>
            <w:tcMar>
              <w:top w:w="85" w:type="dxa"/>
              <w:start w:w="120" w:type="dxa"/>
              <w:bottom w:w="85" w:type="dxa"/>
              <w:end w:w="120" w:type="dxa"/>
            </w:tcMar>
            <w:vAlign w:val="center"/>
          </w:tcPr>
          <w:p>
            <w:pPr>
              <w:jc w:val="left"/>
            </w:pPr>
            <w:r>
              <w:rPr>
                <w:sz w:val="17"/>
              </w:rPr>
              <w:t>preview.png</w:t>
            </w:r>
          </w:p>
        </w:tc>
        <w:tc>
          <w:tcPr>
            <w:tcW w:type="dxa" w:w="6360"/>
            <w:tcMar>
              <w:top w:w="85" w:type="dxa"/>
              <w:start w:w="120" w:type="dxa"/>
              <w:bottom w:w="85" w:type="dxa"/>
              <w:end w:w="120" w:type="dxa"/>
            </w:tcMar>
            <w:vAlign w:val="center"/>
          </w:tcPr>
          <w:p>
            <w:pPr>
              <w:jc w:val="left"/>
            </w:pPr>
            <w:r>
              <w:rPr>
                <w:sz w:val="17"/>
              </w:rPr>
              <w:t>Fixed-front/radius/motion/pulsatility release preview</w:t>
            </w:r>
          </w:p>
        </w:tc>
      </w:tr>
      <w:tr>
        <w:trPr>
          <w:cantSplit/>
        </w:trPr>
        <w:tc>
          <w:tcPr>
            <w:tcW w:type="dxa" w:w="3000"/>
            <w:tcMar>
              <w:top w:w="85" w:type="dxa"/>
              <w:start w:w="120" w:type="dxa"/>
              <w:bottom w:w="85" w:type="dxa"/>
              <w:end w:w="120" w:type="dxa"/>
            </w:tcMar>
            <w:vAlign w:val="center"/>
          </w:tcPr>
          <w:p>
            <w:pPr>
              <w:jc w:val="left"/>
            </w:pPr>
            <w:r>
              <w:rPr>
                <w:sz w:val="17"/>
              </w:rPr>
              <w:t>visualizations/</w:t>
            </w:r>
          </w:p>
        </w:tc>
        <w:tc>
          <w:tcPr>
            <w:tcW w:type="dxa" w:w="6360"/>
            <w:tcMar>
              <w:top w:w="85" w:type="dxa"/>
              <w:start w:w="120" w:type="dxa"/>
              <w:bottom w:w="85" w:type="dxa"/>
              <w:end w:w="120" w:type="dxa"/>
            </w:tcMar>
            <w:vAlign w:val="center"/>
          </w:tcPr>
          <w:p>
            <w:pPr>
              <w:jc w:val="left"/>
            </w:pPr>
            <w:r>
              <w:rPr>
                <w:sz w:val="17"/>
              </w:rPr>
              <w:t>Dashboard, tortuosity plot, cardiac GIF, interactive HTML, quantitative plot, metrics</w:t>
            </w:r>
          </w:p>
        </w:tc>
      </w:tr>
    </w:tbl>
    <w:p>
      <w:pPr>
        <w:spacing w:after="0"/>
      </w:pPr>
    </w:p>
    <w:p>
      <w:r>
        <w:t>Final branch order is [LMCA, LAD, LCX]. Fixed export uses 50 points per branch. VTK point data include radius and disease-reduction values suitable for coloring in ParaView. The focal LAD interactive viewer is self-contained for offline use; the remaining small HTML files load Plotly from its CDN.</w:t>
      </w:r>
    </w:p>
    <w:p>
      <w:r>
        <w:br w:type="page"/>
      </w:r>
    </w:p>
    <w:p>
      <w:pPr>
        <w:keepNext/>
        <w:jc w:val="center"/>
      </w:pPr>
      <w:r>
        <w:drawing>
          <wp:inline xmlns:a="http://schemas.openxmlformats.org/drawingml/2006/main" xmlns:pic="http://schemas.openxmlformats.org/drawingml/2006/picture">
            <wp:extent cx="5806440" cy="2723903"/>
            <wp:docPr id="7" name="Picture 7" title="Figure 5. Healthy, focal LAD, diffuse LCX, and tandem LAD cases on identical seeded anatomy." descr="Figure 5. Healthy, focal LAD, diffuse LCX, and tandem LAD cases on identical seeded anatomy."/>
            <wp:cNvGraphicFramePr>
              <a:graphicFrameLocks noChangeAspect="1"/>
            </wp:cNvGraphicFramePr>
            <a:graphic>
              <a:graphicData uri="http://schemas.openxmlformats.org/drawingml/2006/picture">
                <pic:pic>
                  <pic:nvPicPr>
                    <pic:cNvPr id="0" name="disease_mode_comparison.png"/>
                    <pic:cNvPicPr/>
                  </pic:nvPicPr>
                  <pic:blipFill>
                    <a:blip r:embed="rId17"/>
                    <a:stretch>
                      <a:fillRect/>
                    </a:stretch>
                  </pic:blipFill>
                  <pic:spPr>
                    <a:xfrm>
                      <a:off x="0" y="0"/>
                      <a:ext cx="5806440" cy="2723903"/>
                    </a:xfrm>
                    <a:prstGeom prst="rect"/>
                  </pic:spPr>
                </pic:pic>
              </a:graphicData>
            </a:graphic>
          </wp:inline>
        </w:drawing>
      </w:r>
    </w:p>
    <w:p>
      <w:pPr>
        <w:pStyle w:val="Caption"/>
        <w:keepNext w:val="0"/>
        <w:jc w:val="center"/>
      </w:pPr>
      <w:r>
        <w:rPr>
          <w:i/>
        </w:rPr>
        <w:t>Figure 5. Healthy, focal LAD, diffuse LCX, and tandem LAD cases on identical seeded anatomy.</w:t>
      </w:r>
    </w:p>
    <w:p>
      <w:pPr>
        <w:pStyle w:val="Heading1"/>
        <w:pageBreakBefore/>
      </w:pPr>
      <w:r>
        <w:t>9. Verification and quantitative results</w:t>
      </w:r>
    </w:p>
    <w:p>
      <w:pPr>
        <w:pStyle w:val="Heading2"/>
        <w:pageBreakBefore w:val="0"/>
      </w:pPr>
      <w:r>
        <w:t>9.1 Final population results</w:t>
      </w:r>
    </w:p>
    <w:tbl>
      <w:tblPr>
        <w:tblStyle w:val="TableGrid"/>
        <w:tblW w:type="dxa" w:w="9360"/>
        <w:tblLayout w:type="fixed"/>
        <w:tblLook w:firstColumn="1" w:firstRow="1" w:lastColumn="0" w:lastRow="0" w:noHBand="0" w:noVBand="1" w:val="04A0"/>
        <w:jc w:val="left"/>
        <w:tblInd w:w="0" w:type="dxa"/>
      </w:tblPr>
      <w:tblGrid>
        <w:gridCol w:w="2300"/>
        <w:gridCol w:w="2750"/>
        <w:gridCol w:w="2760"/>
        <w:gridCol w:w="1550"/>
      </w:tblGrid>
      <w:tr>
        <w:trPr>
          <w:cantSplit/>
          <w:tblHeader w:val="true"/>
          <w:cantSplit/>
        </w:trPr>
        <w:tc>
          <w:tcPr>
            <w:tcW w:type="dxa" w:w="2300"/>
            <w:tcMar>
              <w:top w:w="85" w:type="dxa"/>
              <w:start w:w="120" w:type="dxa"/>
              <w:bottom w:w="85" w:type="dxa"/>
              <w:end w:w="120" w:type="dxa"/>
            </w:tcMar>
            <w:vAlign w:val="center"/>
            <w:shd w:fill="EAF2FB"/>
          </w:tcPr>
          <w:p>
            <w:pPr>
              <w:jc w:val="center"/>
            </w:pPr>
            <w:r>
              <w:rPr>
                <w:b/>
                <w:sz w:val="17"/>
              </w:rPr>
              <w:t>Metric</w:t>
            </w:r>
          </w:p>
        </w:tc>
        <w:tc>
          <w:tcPr>
            <w:tcW w:type="dxa" w:w="2750"/>
            <w:tcMar>
              <w:top w:w="85" w:type="dxa"/>
              <w:start w:w="120" w:type="dxa"/>
              <w:bottom w:w="85" w:type="dxa"/>
              <w:end w:w="120" w:type="dxa"/>
            </w:tcMar>
            <w:vAlign w:val="center"/>
            <w:shd w:fill="EAF2FB"/>
          </w:tcPr>
          <w:p>
            <w:pPr>
              <w:jc w:val="center"/>
            </w:pPr>
            <w:r>
              <w:rPr>
                <w:b/>
                <w:sz w:val="17"/>
              </w:rPr>
              <w:t>Real mean +/- SD</w:t>
            </w:r>
          </w:p>
        </w:tc>
        <w:tc>
          <w:tcPr>
            <w:tcW w:type="dxa" w:w="2760"/>
            <w:tcMar>
              <w:top w:w="85" w:type="dxa"/>
              <w:start w:w="120" w:type="dxa"/>
              <w:bottom w:w="85" w:type="dxa"/>
              <w:end w:w="120" w:type="dxa"/>
            </w:tcMar>
            <w:vAlign w:val="center"/>
            <w:shd w:fill="EAF2FB"/>
          </w:tcPr>
          <w:p>
            <w:pPr>
              <w:jc w:val="center"/>
            </w:pPr>
            <w:r>
              <w:rPr>
                <w:b/>
                <w:sz w:val="17"/>
              </w:rPr>
              <w:t>Generated mean +/- SD</w:t>
            </w:r>
          </w:p>
        </w:tc>
        <w:tc>
          <w:tcPr>
            <w:tcW w:type="dxa" w:w="1550"/>
            <w:tcMar>
              <w:top w:w="85" w:type="dxa"/>
              <w:start w:w="120" w:type="dxa"/>
              <w:bottom w:w="85" w:type="dxa"/>
              <w:end w:w="120" w:type="dxa"/>
            </w:tcMar>
            <w:vAlign w:val="center"/>
            <w:shd w:fill="EAF2FB"/>
          </w:tcPr>
          <w:p>
            <w:pPr>
              <w:jc w:val="center"/>
            </w:pPr>
            <w:r>
              <w:rPr>
                <w:b/>
                <w:sz w:val="17"/>
              </w:rPr>
              <w:t>Result</w:t>
            </w:r>
          </w:p>
        </w:tc>
      </w:tr>
      <w:tr>
        <w:trPr>
          <w:cantSplit/>
        </w:trPr>
        <w:tc>
          <w:tcPr>
            <w:tcW w:type="dxa" w:w="2300"/>
            <w:tcMar>
              <w:top w:w="85" w:type="dxa"/>
              <w:start w:w="120" w:type="dxa"/>
              <w:bottom w:w="85" w:type="dxa"/>
              <w:end w:w="120" w:type="dxa"/>
            </w:tcMar>
            <w:vAlign w:val="center"/>
          </w:tcPr>
          <w:p>
            <w:pPr>
              <w:jc w:val="left"/>
            </w:pPr>
            <w:r>
              <w:rPr>
                <w:sz w:val="17"/>
              </w:rPr>
              <w:t>LMCA length (mm)</w:t>
            </w:r>
          </w:p>
        </w:tc>
        <w:tc>
          <w:tcPr>
            <w:tcW w:type="dxa" w:w="2750"/>
            <w:tcMar>
              <w:top w:w="85" w:type="dxa"/>
              <w:start w:w="120" w:type="dxa"/>
              <w:bottom w:w="85" w:type="dxa"/>
              <w:end w:w="120" w:type="dxa"/>
            </w:tcMar>
            <w:vAlign w:val="center"/>
          </w:tcPr>
          <w:p>
            <w:pPr>
              <w:jc w:val="center"/>
            </w:pPr>
            <w:r>
              <w:rPr>
                <w:sz w:val="17"/>
              </w:rPr>
              <w:t>17.177 +/- 15.062</w:t>
            </w:r>
          </w:p>
        </w:tc>
        <w:tc>
          <w:tcPr>
            <w:tcW w:type="dxa" w:w="2760"/>
            <w:tcMar>
              <w:top w:w="85" w:type="dxa"/>
              <w:start w:w="120" w:type="dxa"/>
              <w:bottom w:w="85" w:type="dxa"/>
              <w:end w:w="120" w:type="dxa"/>
            </w:tcMar>
            <w:vAlign w:val="center"/>
          </w:tcPr>
          <w:p>
            <w:pPr>
              <w:jc w:val="center"/>
            </w:pPr>
            <w:r>
              <w:rPr>
                <w:sz w:val="17"/>
              </w:rPr>
              <w:t>17.175 +/- 15.047</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LAD length (mm)</w:t>
            </w:r>
          </w:p>
        </w:tc>
        <w:tc>
          <w:tcPr>
            <w:tcW w:type="dxa" w:w="2750"/>
            <w:tcMar>
              <w:top w:w="85" w:type="dxa"/>
              <w:start w:w="120" w:type="dxa"/>
              <w:bottom w:w="85" w:type="dxa"/>
              <w:end w:w="120" w:type="dxa"/>
            </w:tcMar>
            <w:vAlign w:val="center"/>
          </w:tcPr>
          <w:p>
            <w:pPr>
              <w:jc w:val="center"/>
            </w:pPr>
            <w:r>
              <w:rPr>
                <w:sz w:val="17"/>
              </w:rPr>
              <w:t>120.685 +/- 28.333</w:t>
            </w:r>
          </w:p>
        </w:tc>
        <w:tc>
          <w:tcPr>
            <w:tcW w:type="dxa" w:w="2760"/>
            <w:tcMar>
              <w:top w:w="85" w:type="dxa"/>
              <w:start w:w="120" w:type="dxa"/>
              <w:bottom w:w="85" w:type="dxa"/>
              <w:end w:w="120" w:type="dxa"/>
            </w:tcMar>
            <w:vAlign w:val="center"/>
          </w:tcPr>
          <w:p>
            <w:pPr>
              <w:jc w:val="center"/>
            </w:pPr>
            <w:r>
              <w:rPr>
                <w:sz w:val="17"/>
              </w:rPr>
              <w:t>120.824 +/- 28.315</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LCX length (mm)</w:t>
            </w:r>
          </w:p>
        </w:tc>
        <w:tc>
          <w:tcPr>
            <w:tcW w:type="dxa" w:w="2750"/>
            <w:tcMar>
              <w:top w:w="85" w:type="dxa"/>
              <w:start w:w="120" w:type="dxa"/>
              <w:bottom w:w="85" w:type="dxa"/>
              <w:end w:w="120" w:type="dxa"/>
            </w:tcMar>
            <w:vAlign w:val="center"/>
          </w:tcPr>
          <w:p>
            <w:pPr>
              <w:jc w:val="center"/>
            </w:pPr>
            <w:r>
              <w:rPr>
                <w:sz w:val="17"/>
              </w:rPr>
              <w:t>77.092 +/- 23.520</w:t>
            </w:r>
          </w:p>
        </w:tc>
        <w:tc>
          <w:tcPr>
            <w:tcW w:type="dxa" w:w="2760"/>
            <w:tcMar>
              <w:top w:w="85" w:type="dxa"/>
              <w:start w:w="120" w:type="dxa"/>
              <w:bottom w:w="85" w:type="dxa"/>
              <w:end w:w="120" w:type="dxa"/>
            </w:tcMar>
            <w:vAlign w:val="center"/>
          </w:tcPr>
          <w:p>
            <w:pPr>
              <w:jc w:val="center"/>
            </w:pPr>
            <w:r>
              <w:rPr>
                <w:sz w:val="17"/>
              </w:rPr>
              <w:t>77.107 +/- 23.522</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LMCA tortuosity</w:t>
            </w:r>
          </w:p>
        </w:tc>
        <w:tc>
          <w:tcPr>
            <w:tcW w:type="dxa" w:w="2750"/>
            <w:tcMar>
              <w:top w:w="85" w:type="dxa"/>
              <w:start w:w="120" w:type="dxa"/>
              <w:bottom w:w="85" w:type="dxa"/>
              <w:end w:w="120" w:type="dxa"/>
            </w:tcMar>
            <w:vAlign w:val="center"/>
          </w:tcPr>
          <w:p>
            <w:pPr>
              <w:jc w:val="center"/>
            </w:pPr>
            <w:r>
              <w:rPr>
                <w:sz w:val="17"/>
              </w:rPr>
              <w:t>1.055 +/- 0.070</w:t>
            </w:r>
          </w:p>
        </w:tc>
        <w:tc>
          <w:tcPr>
            <w:tcW w:type="dxa" w:w="2760"/>
            <w:tcMar>
              <w:top w:w="85" w:type="dxa"/>
              <w:start w:w="120" w:type="dxa"/>
              <w:bottom w:w="85" w:type="dxa"/>
              <w:end w:w="120" w:type="dxa"/>
            </w:tcMar>
            <w:vAlign w:val="center"/>
          </w:tcPr>
          <w:p>
            <w:pPr>
              <w:jc w:val="center"/>
            </w:pPr>
            <w:r>
              <w:rPr>
                <w:sz w:val="17"/>
              </w:rPr>
              <w:t>1.055 +/- 0.069</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LAD tortuosity</w:t>
            </w:r>
          </w:p>
        </w:tc>
        <w:tc>
          <w:tcPr>
            <w:tcW w:type="dxa" w:w="2750"/>
            <w:tcMar>
              <w:top w:w="85" w:type="dxa"/>
              <w:start w:w="120" w:type="dxa"/>
              <w:bottom w:w="85" w:type="dxa"/>
              <w:end w:w="120" w:type="dxa"/>
            </w:tcMar>
            <w:vAlign w:val="center"/>
          </w:tcPr>
          <w:p>
            <w:pPr>
              <w:jc w:val="center"/>
            </w:pPr>
            <w:r>
              <w:rPr>
                <w:sz w:val="17"/>
              </w:rPr>
              <w:t>1.373 +/- 0.207</w:t>
            </w:r>
          </w:p>
        </w:tc>
        <w:tc>
          <w:tcPr>
            <w:tcW w:type="dxa" w:w="2760"/>
            <w:tcMar>
              <w:top w:w="85" w:type="dxa"/>
              <w:start w:w="120" w:type="dxa"/>
              <w:bottom w:w="85" w:type="dxa"/>
              <w:end w:w="120" w:type="dxa"/>
            </w:tcMar>
            <w:vAlign w:val="center"/>
          </w:tcPr>
          <w:p>
            <w:pPr>
              <w:jc w:val="center"/>
            </w:pPr>
            <w:r>
              <w:rPr>
                <w:sz w:val="17"/>
              </w:rPr>
              <w:t>1.374 +/- 0.205</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LCX tortuosity</w:t>
            </w:r>
          </w:p>
        </w:tc>
        <w:tc>
          <w:tcPr>
            <w:tcW w:type="dxa" w:w="2750"/>
            <w:tcMar>
              <w:top w:w="85" w:type="dxa"/>
              <w:start w:w="120" w:type="dxa"/>
              <w:bottom w:w="85" w:type="dxa"/>
              <w:end w:w="120" w:type="dxa"/>
            </w:tcMar>
            <w:vAlign w:val="center"/>
          </w:tcPr>
          <w:p>
            <w:pPr>
              <w:jc w:val="center"/>
            </w:pPr>
            <w:r>
              <w:rPr>
                <w:sz w:val="17"/>
              </w:rPr>
              <w:t>1.264 +/- 0.142</w:t>
            </w:r>
          </w:p>
        </w:tc>
        <w:tc>
          <w:tcPr>
            <w:tcW w:type="dxa" w:w="2760"/>
            <w:tcMar>
              <w:top w:w="85" w:type="dxa"/>
              <w:start w:w="120" w:type="dxa"/>
              <w:bottom w:w="85" w:type="dxa"/>
              <w:end w:w="120" w:type="dxa"/>
            </w:tcMar>
            <w:vAlign w:val="center"/>
          </w:tcPr>
          <w:p>
            <w:pPr>
              <w:jc w:val="center"/>
            </w:pPr>
            <w:r>
              <w:rPr>
                <w:sz w:val="17"/>
              </w:rPr>
              <w:t>1.264 +/- 0.142</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LAD-LCX angle (deg)</w:t>
            </w:r>
          </w:p>
        </w:tc>
        <w:tc>
          <w:tcPr>
            <w:tcW w:type="dxa" w:w="2750"/>
            <w:tcMar>
              <w:top w:w="85" w:type="dxa"/>
              <w:start w:w="120" w:type="dxa"/>
              <w:bottom w:w="85" w:type="dxa"/>
              <w:end w:w="120" w:type="dxa"/>
            </w:tcMar>
            <w:vAlign w:val="center"/>
          </w:tcPr>
          <w:p>
            <w:pPr>
              <w:jc w:val="center"/>
            </w:pPr>
            <w:r>
              <w:rPr>
                <w:sz w:val="17"/>
              </w:rPr>
              <w:t>90.807 +/- 24.699</w:t>
            </w:r>
          </w:p>
        </w:tc>
        <w:tc>
          <w:tcPr>
            <w:tcW w:type="dxa" w:w="2760"/>
            <w:tcMar>
              <w:top w:w="85" w:type="dxa"/>
              <w:start w:w="120" w:type="dxa"/>
              <w:bottom w:w="85" w:type="dxa"/>
              <w:end w:w="120" w:type="dxa"/>
            </w:tcMar>
            <w:vAlign w:val="center"/>
          </w:tcPr>
          <w:p>
            <w:pPr>
              <w:jc w:val="center"/>
            </w:pPr>
            <w:r>
              <w:rPr>
                <w:sz w:val="17"/>
              </w:rPr>
              <w:t>90.697 +/- 24.730</w:t>
            </w:r>
          </w:p>
        </w:tc>
        <w:tc>
          <w:tcPr>
            <w:tcW w:type="dxa" w:w="1550"/>
            <w:tcMar>
              <w:top w:w="85" w:type="dxa"/>
              <w:start w:w="120" w:type="dxa"/>
              <w:bottom w:w="85" w:type="dxa"/>
              <w:end w:w="120" w:type="dxa"/>
            </w:tcMar>
            <w:vAlign w:val="center"/>
          </w:tcPr>
          <w:p>
            <w:pPr>
              <w:jc w:val="center"/>
            </w:pPr>
            <w:r>
              <w:rPr>
                <w:sz w:val="17"/>
              </w:rPr>
              <w:t>PASS</w:t>
            </w:r>
          </w:p>
        </w:tc>
      </w:tr>
      <w:tr>
        <w:trPr>
          <w:cantSplit/>
        </w:trPr>
        <w:tc>
          <w:tcPr>
            <w:tcW w:type="dxa" w:w="2300"/>
            <w:tcMar>
              <w:top w:w="85" w:type="dxa"/>
              <w:start w:w="120" w:type="dxa"/>
              <w:bottom w:w="85" w:type="dxa"/>
              <w:end w:w="120" w:type="dxa"/>
            </w:tcMar>
            <w:vAlign w:val="center"/>
          </w:tcPr>
          <w:p>
            <w:pPr>
              <w:jc w:val="left"/>
            </w:pPr>
            <w:r>
              <w:rPr>
                <w:sz w:val="17"/>
              </w:rPr>
              <w:t>LMCA max turn (deg)</w:t>
            </w:r>
          </w:p>
        </w:tc>
        <w:tc>
          <w:tcPr>
            <w:tcW w:type="dxa" w:w="2750"/>
            <w:tcMar>
              <w:top w:w="85" w:type="dxa"/>
              <w:start w:w="120" w:type="dxa"/>
              <w:bottom w:w="85" w:type="dxa"/>
              <w:end w:w="120" w:type="dxa"/>
            </w:tcMar>
            <w:vAlign w:val="center"/>
          </w:tcPr>
          <w:p>
            <w:pPr>
              <w:jc w:val="center"/>
            </w:pPr>
            <w:r>
              <w:rPr>
                <w:sz w:val="17"/>
              </w:rPr>
              <w:t>4.811 +/- 3.490</w:t>
            </w:r>
          </w:p>
        </w:tc>
        <w:tc>
          <w:tcPr>
            <w:tcW w:type="dxa" w:w="2760"/>
            <w:tcMar>
              <w:top w:w="85" w:type="dxa"/>
              <w:start w:w="120" w:type="dxa"/>
              <w:bottom w:w="85" w:type="dxa"/>
              <w:end w:w="120" w:type="dxa"/>
            </w:tcMar>
            <w:vAlign w:val="center"/>
          </w:tcPr>
          <w:p>
            <w:pPr>
              <w:jc w:val="center"/>
            </w:pPr>
            <w:r>
              <w:rPr>
                <w:sz w:val="17"/>
              </w:rPr>
              <w:t>5.350 +/- 3.224</w:t>
            </w:r>
          </w:p>
        </w:tc>
        <w:tc>
          <w:tcPr>
            <w:tcW w:type="dxa" w:w="1550"/>
            <w:tcMar>
              <w:top w:w="85" w:type="dxa"/>
              <w:start w:w="120" w:type="dxa"/>
              <w:bottom w:w="85" w:type="dxa"/>
              <w:end w:w="120" w:type="dxa"/>
            </w:tcMar>
            <w:vAlign w:val="center"/>
          </w:tcPr>
          <w:p>
            <w:pPr>
              <w:jc w:val="center"/>
            </w:pPr>
            <w:r>
              <w:rPr>
                <w:sz w:val="17"/>
              </w:rPr>
              <w:t>PASS</w:t>
            </w:r>
          </w:p>
        </w:tc>
      </w:tr>
    </w:tbl>
    <w:p>
      <w:pPr>
        <w:spacing w:after="0"/>
      </w:pPr>
    </w:p>
    <w:tbl>
      <w:tblPr>
        <w:tblStyle w:val="TableGrid"/>
        <w:tblW w:type="dxa" w:w="9360"/>
        <w:tblLayout w:type="fixed"/>
        <w:tblLook w:firstColumn="1" w:firstRow="1" w:lastColumn="0" w:lastRow="0" w:noHBand="0" w:noVBand="1" w:val="04A0"/>
        <w:jc w:val="left"/>
        <w:tblInd w:w="0" w:type="dxa"/>
      </w:tblPr>
      <w:tblGrid>
        <w:gridCol w:w="4700"/>
        <w:gridCol w:w="4660"/>
      </w:tblGrid>
      <w:tr>
        <w:trPr>
          <w:cantSplit/>
          <w:tblHeader w:val="true"/>
          <w:cantSplit/>
        </w:trPr>
        <w:tc>
          <w:tcPr>
            <w:tcW w:type="dxa" w:w="4700"/>
            <w:tcMar>
              <w:top w:w="85" w:type="dxa"/>
              <w:start w:w="120" w:type="dxa"/>
              <w:bottom w:w="85" w:type="dxa"/>
              <w:end w:w="120" w:type="dxa"/>
            </w:tcMar>
            <w:vAlign w:val="center"/>
            <w:shd w:fill="EAF2FB"/>
          </w:tcPr>
          <w:p>
            <w:pPr>
              <w:jc w:val="center"/>
            </w:pPr>
            <w:r>
              <w:rPr>
                <w:b/>
                <w:sz w:val="18"/>
              </w:rPr>
              <w:t>Cohort result</w:t>
            </w:r>
          </w:p>
        </w:tc>
        <w:tc>
          <w:tcPr>
            <w:tcW w:type="dxa" w:w="4660"/>
            <w:tcMar>
              <w:top w:w="85" w:type="dxa"/>
              <w:start w:w="120" w:type="dxa"/>
              <w:bottom w:w="85" w:type="dxa"/>
              <w:end w:w="120" w:type="dxa"/>
            </w:tcMar>
            <w:vAlign w:val="center"/>
            <w:shd w:fill="EAF2FB"/>
          </w:tcPr>
          <w:p>
            <w:pPr>
              <w:jc w:val="center"/>
            </w:pPr>
            <w:r>
              <w:rPr>
                <w:b/>
                <w:sz w:val="18"/>
              </w:rPr>
              <w:t>Value</w:t>
            </w:r>
          </w:p>
        </w:tc>
      </w:tr>
      <w:tr>
        <w:trPr>
          <w:cantSplit/>
        </w:trPr>
        <w:tc>
          <w:tcPr>
            <w:tcW w:type="dxa" w:w="4700"/>
            <w:tcMar>
              <w:top w:w="85" w:type="dxa"/>
              <w:start w:w="120" w:type="dxa"/>
              <w:bottom w:w="85" w:type="dxa"/>
              <w:end w:w="120" w:type="dxa"/>
            </w:tcMar>
            <w:vAlign w:val="center"/>
          </w:tcPr>
          <w:p>
            <w:pPr>
              <w:jc w:val="left"/>
            </w:pPr>
            <w:r>
              <w:rPr>
                <w:sz w:val="18"/>
              </w:rPr>
              <w:t>Accepted/requested</w:t>
            </w:r>
          </w:p>
        </w:tc>
        <w:tc>
          <w:tcPr>
            <w:tcW w:type="dxa" w:w="4660"/>
            <w:tcMar>
              <w:top w:w="85" w:type="dxa"/>
              <w:start w:w="120" w:type="dxa"/>
              <w:bottom w:w="85" w:type="dxa"/>
              <w:end w:w="120" w:type="dxa"/>
            </w:tcMar>
            <w:vAlign w:val="center"/>
          </w:tcPr>
          <w:p>
            <w:pPr>
              <w:jc w:val="center"/>
            </w:pPr>
            <w:r>
              <w:rPr>
                <w:sz w:val="18"/>
              </w:rPr>
              <w:t>52/52</w:t>
            </w:r>
          </w:p>
        </w:tc>
      </w:tr>
      <w:tr>
        <w:trPr>
          <w:cantSplit/>
        </w:trPr>
        <w:tc>
          <w:tcPr>
            <w:tcW w:type="dxa" w:w="4700"/>
            <w:tcMar>
              <w:top w:w="85" w:type="dxa"/>
              <w:start w:w="120" w:type="dxa"/>
              <w:bottom w:w="85" w:type="dxa"/>
              <w:end w:w="120" w:type="dxa"/>
            </w:tcMar>
            <w:vAlign w:val="center"/>
          </w:tcPr>
          <w:p>
            <w:pPr>
              <w:jc w:val="left"/>
            </w:pPr>
            <w:r>
              <w:rPr>
                <w:sz w:val="18"/>
              </w:rPr>
              <w:t>Sampling attempts</w:t>
            </w:r>
          </w:p>
        </w:tc>
        <w:tc>
          <w:tcPr>
            <w:tcW w:type="dxa" w:w="4660"/>
            <w:tcMar>
              <w:top w:w="85" w:type="dxa"/>
              <w:start w:w="120" w:type="dxa"/>
              <w:bottom w:w="85" w:type="dxa"/>
              <w:end w:w="120" w:type="dxa"/>
            </w:tcMar>
            <w:vAlign w:val="center"/>
          </w:tcPr>
          <w:p>
            <w:pPr>
              <w:jc w:val="center"/>
            </w:pPr>
            <w:r>
              <w:rPr>
                <w:sz w:val="18"/>
              </w:rPr>
              <w:t>64</w:t>
            </w:r>
          </w:p>
        </w:tc>
      </w:tr>
      <w:tr>
        <w:trPr>
          <w:cantSplit/>
        </w:trPr>
        <w:tc>
          <w:tcPr>
            <w:tcW w:type="dxa" w:w="4700"/>
            <w:tcMar>
              <w:top w:w="85" w:type="dxa"/>
              <w:start w:w="120" w:type="dxa"/>
              <w:bottom w:w="85" w:type="dxa"/>
              <w:end w:w="120" w:type="dxa"/>
            </w:tcMar>
            <w:vAlign w:val="center"/>
          </w:tcPr>
          <w:p>
            <w:pPr>
              <w:jc w:val="left"/>
            </w:pPr>
            <w:r>
              <w:rPr>
                <w:sz w:val="18"/>
              </w:rPr>
              <w:t>Unique eligible baselines represented</w:t>
            </w:r>
          </w:p>
        </w:tc>
        <w:tc>
          <w:tcPr>
            <w:tcW w:type="dxa" w:w="4660"/>
            <w:tcMar>
              <w:top w:w="85" w:type="dxa"/>
              <w:start w:w="120" w:type="dxa"/>
              <w:bottom w:w="85" w:type="dxa"/>
              <w:end w:w="120" w:type="dxa"/>
            </w:tcMar>
            <w:vAlign w:val="center"/>
          </w:tcPr>
          <w:p>
            <w:pPr>
              <w:jc w:val="center"/>
            </w:pPr>
            <w:r>
              <w:rPr>
                <w:sz w:val="18"/>
              </w:rPr>
              <w:t>52/52</w:t>
            </w:r>
          </w:p>
        </w:tc>
      </w:tr>
      <w:tr>
        <w:trPr>
          <w:cantSplit/>
        </w:trPr>
        <w:tc>
          <w:tcPr>
            <w:tcW w:type="dxa" w:w="4700"/>
            <w:tcMar>
              <w:top w:w="85" w:type="dxa"/>
              <w:start w:w="120" w:type="dxa"/>
              <w:bottom w:w="85" w:type="dxa"/>
              <w:end w:w="120" w:type="dxa"/>
            </w:tcMar>
            <w:vAlign w:val="center"/>
          </w:tcPr>
          <w:p>
            <w:pPr>
              <w:jc w:val="left"/>
            </w:pPr>
            <w:r>
              <w:rPr>
                <w:sz w:val="18"/>
              </w:rPr>
              <w:t>PCA innovation scale</w:t>
            </w:r>
          </w:p>
        </w:tc>
        <w:tc>
          <w:tcPr>
            <w:tcW w:type="dxa" w:w="4660"/>
            <w:tcMar>
              <w:top w:w="85" w:type="dxa"/>
              <w:start w:w="120" w:type="dxa"/>
              <w:bottom w:w="85" w:type="dxa"/>
              <w:end w:w="120" w:type="dxa"/>
            </w:tcMar>
            <w:vAlign w:val="center"/>
          </w:tcPr>
          <w:p>
            <w:pPr>
              <w:jc w:val="center"/>
            </w:pPr>
            <w:r>
              <w:rPr>
                <w:sz w:val="18"/>
              </w:rPr>
              <w:t>0.04</w:t>
            </w:r>
          </w:p>
        </w:tc>
      </w:tr>
      <w:tr>
        <w:trPr>
          <w:cantSplit/>
        </w:trPr>
        <w:tc>
          <w:tcPr>
            <w:tcW w:type="dxa" w:w="4700"/>
            <w:tcMar>
              <w:top w:w="85" w:type="dxa"/>
              <w:start w:w="120" w:type="dxa"/>
              <w:bottom w:w="85" w:type="dxa"/>
              <w:end w:w="120" w:type="dxa"/>
            </w:tcMar>
            <w:vAlign w:val="center"/>
          </w:tcPr>
          <w:p>
            <w:pPr>
              <w:jc w:val="left"/>
            </w:pPr>
            <w:r>
              <w:rPr>
                <w:sz w:val="18"/>
              </w:rPr>
              <w:t>Exact LCA topology in every tree</w:t>
            </w:r>
          </w:p>
        </w:tc>
        <w:tc>
          <w:tcPr>
            <w:tcW w:type="dxa" w:w="4660"/>
            <w:tcMar>
              <w:top w:w="85" w:type="dxa"/>
              <w:start w:w="120" w:type="dxa"/>
              <w:bottom w:w="85" w:type="dxa"/>
              <w:end w:w="120" w:type="dxa"/>
            </w:tcMar>
            <w:vAlign w:val="center"/>
          </w:tcPr>
          <w:p>
            <w:pPr>
              <w:jc w:val="center"/>
            </w:pPr>
            <w:r>
              <w:rPr>
                <w:sz w:val="18"/>
              </w:rPr>
              <w:t>True</w:t>
            </w:r>
          </w:p>
        </w:tc>
      </w:tr>
      <w:tr>
        <w:trPr>
          <w:cantSplit/>
        </w:trPr>
        <w:tc>
          <w:tcPr>
            <w:tcW w:type="dxa" w:w="4700"/>
            <w:tcMar>
              <w:top w:w="85" w:type="dxa"/>
              <w:start w:w="120" w:type="dxa"/>
              <w:bottom w:w="85" w:type="dxa"/>
              <w:end w:w="120" w:type="dxa"/>
            </w:tcMar>
            <w:vAlign w:val="center"/>
          </w:tcPr>
          <w:p>
            <w:pPr>
              <w:jc w:val="left"/>
            </w:pPr>
            <w:r>
              <w:rPr>
                <w:sz w:val="18"/>
              </w:rPr>
              <w:t>Compared metrics</w:t>
            </w:r>
          </w:p>
        </w:tc>
        <w:tc>
          <w:tcPr>
            <w:tcW w:type="dxa" w:w="4660"/>
            <w:tcMar>
              <w:top w:w="85" w:type="dxa"/>
              <w:start w:w="120" w:type="dxa"/>
              <w:bottom w:w="85" w:type="dxa"/>
              <w:end w:w="120" w:type="dxa"/>
            </w:tcMar>
            <w:vAlign w:val="center"/>
          </w:tcPr>
          <w:p>
            <w:pPr>
              <w:jc w:val="center"/>
            </w:pPr>
            <w:r>
              <w:rPr>
                <w:sz w:val="18"/>
              </w:rPr>
              <w:t>50</w:t>
            </w:r>
          </w:p>
        </w:tc>
      </w:tr>
      <w:tr>
        <w:trPr>
          <w:cantSplit/>
        </w:trPr>
        <w:tc>
          <w:tcPr>
            <w:tcW w:type="dxa" w:w="4700"/>
            <w:tcMar>
              <w:top w:w="85" w:type="dxa"/>
              <w:start w:w="120" w:type="dxa"/>
              <w:bottom w:w="85" w:type="dxa"/>
              <w:end w:w="120" w:type="dxa"/>
            </w:tcMar>
            <w:vAlign w:val="center"/>
          </w:tcPr>
          <w:p>
            <w:pPr>
              <w:jc w:val="left"/>
            </w:pPr>
            <w:r>
              <w:rPr>
                <w:sz w:val="18"/>
              </w:rPr>
              <w:t>Distribution passes/warnings</w:t>
            </w:r>
          </w:p>
        </w:tc>
        <w:tc>
          <w:tcPr>
            <w:tcW w:type="dxa" w:w="4660"/>
            <w:tcMar>
              <w:top w:w="85" w:type="dxa"/>
              <w:start w:w="120" w:type="dxa"/>
              <w:bottom w:w="85" w:type="dxa"/>
              <w:end w:w="120" w:type="dxa"/>
            </w:tcMar>
            <w:vAlign w:val="center"/>
          </w:tcPr>
          <w:p>
            <w:pPr>
              <w:jc w:val="center"/>
            </w:pPr>
            <w:r>
              <w:rPr>
                <w:sz w:val="18"/>
              </w:rPr>
              <w:t>50/0</w:t>
            </w:r>
          </w:p>
        </w:tc>
      </w:tr>
    </w:tbl>
    <w:p>
      <w:pPr>
        <w:spacing w:after="0"/>
      </w:pPr>
    </w:p>
    <w:p>
      <w:pPr>
        <w:pStyle w:val="Heading2"/>
        <w:pageBreakBefore w:val="0"/>
      </w:pPr>
      <w:r>
        <w:t>9.2 4D and export results</w:t>
      </w:r>
    </w:p>
    <w:tbl>
      <w:tblPr>
        <w:tblStyle w:val="TableGrid"/>
        <w:tblW w:type="dxa" w:w="9360"/>
        <w:tblLayout w:type="fixed"/>
        <w:tblLook w:firstColumn="1" w:firstRow="1" w:lastColumn="0" w:lastRow="0" w:noHBand="0" w:noVBand="1" w:val="04A0"/>
        <w:jc w:val="left"/>
        <w:tblInd w:w="0" w:type="dxa"/>
      </w:tblPr>
      <w:tblGrid>
        <w:gridCol w:w="2750"/>
        <w:gridCol w:w="4910"/>
        <w:gridCol w:w="1700"/>
      </w:tblGrid>
      <w:tr>
        <w:trPr>
          <w:cantSplit/>
          <w:tblHeader w:val="true"/>
          <w:cantSplit/>
        </w:trPr>
        <w:tc>
          <w:tcPr>
            <w:tcW w:type="dxa" w:w="2750"/>
            <w:tcMar>
              <w:top w:w="85" w:type="dxa"/>
              <w:start w:w="120" w:type="dxa"/>
              <w:bottom w:w="85" w:type="dxa"/>
              <w:end w:w="120" w:type="dxa"/>
            </w:tcMar>
            <w:vAlign w:val="center"/>
            <w:shd w:fill="EAF2FB"/>
          </w:tcPr>
          <w:p>
            <w:pPr>
              <w:jc w:val="center"/>
            </w:pPr>
            <w:r>
              <w:rPr>
                <w:b/>
                <w:sz w:val="18"/>
              </w:rPr>
              <w:t>Check</w:t>
            </w:r>
          </w:p>
        </w:tc>
        <w:tc>
          <w:tcPr>
            <w:tcW w:type="dxa" w:w="4910"/>
            <w:tcMar>
              <w:top w:w="85" w:type="dxa"/>
              <w:start w:w="120" w:type="dxa"/>
              <w:bottom w:w="85" w:type="dxa"/>
              <w:end w:w="120" w:type="dxa"/>
            </w:tcMar>
            <w:vAlign w:val="center"/>
            <w:shd w:fill="EAF2FB"/>
          </w:tcPr>
          <w:p>
            <w:pPr>
              <w:jc w:val="center"/>
            </w:pPr>
            <w:r>
              <w:rPr>
                <w:b/>
                <w:sz w:val="18"/>
              </w:rPr>
              <w:t>Evidence</w:t>
            </w:r>
          </w:p>
        </w:tc>
        <w:tc>
          <w:tcPr>
            <w:tcW w:type="dxa" w:w="1700"/>
            <w:tcMar>
              <w:top w:w="85" w:type="dxa"/>
              <w:start w:w="120" w:type="dxa"/>
              <w:bottom w:w="85" w:type="dxa"/>
              <w:end w:w="120" w:type="dxa"/>
            </w:tcMar>
            <w:vAlign w:val="center"/>
            <w:shd w:fill="EAF2FB"/>
          </w:tcPr>
          <w:p>
            <w:pPr>
              <w:jc w:val="center"/>
            </w:pPr>
            <w:r>
              <w:rPr>
                <w:b/>
                <w:sz w:val="18"/>
              </w:rPr>
              <w:t>Status</w:t>
            </w:r>
          </w:p>
        </w:tc>
      </w:tr>
      <w:tr>
        <w:trPr>
          <w:cantSplit/>
        </w:trPr>
        <w:tc>
          <w:tcPr>
            <w:tcW w:type="dxa" w:w="2750"/>
            <w:tcMar>
              <w:top w:w="85" w:type="dxa"/>
              <w:start w:w="120" w:type="dxa"/>
              <w:bottom w:w="85" w:type="dxa"/>
              <w:end w:w="120" w:type="dxa"/>
            </w:tcMar>
            <w:vAlign w:val="center"/>
          </w:tcPr>
          <w:p>
            <w:pPr>
              <w:jc w:val="left"/>
            </w:pPr>
            <w:r>
              <w:rPr>
                <w:sz w:val="18"/>
              </w:rPr>
              <w:t>Population motion</w:t>
            </w:r>
          </w:p>
        </w:tc>
        <w:tc>
          <w:tcPr>
            <w:tcW w:type="dxa" w:w="4910"/>
            <w:tcMar>
              <w:top w:w="85" w:type="dxa"/>
              <w:start w:w="120" w:type="dxa"/>
              <w:bottom w:w="85" w:type="dxa"/>
              <w:end w:w="120" w:type="dxa"/>
            </w:tcMar>
            <w:vAlign w:val="center"/>
          </w:tcPr>
          <w:p>
            <w:pPr>
              <w:jc w:val="center"/>
            </w:pPr>
            <w:r>
              <w:rPr>
                <w:sz w:val="18"/>
              </w:rPr>
              <w:t>52 trees x 10 phases</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Motion junction</w:t>
            </w:r>
          </w:p>
        </w:tc>
        <w:tc>
          <w:tcPr>
            <w:tcW w:type="dxa" w:w="4910"/>
            <w:tcMar>
              <w:top w:w="85" w:type="dxa"/>
              <w:start w:w="120" w:type="dxa"/>
              <w:bottom w:w="85" w:type="dxa"/>
              <w:end w:w="120" w:type="dxa"/>
            </w:tcMar>
            <w:vAlign w:val="center"/>
          </w:tcPr>
          <w:p>
            <w:pPr>
              <w:jc w:val="left"/>
            </w:pPr>
            <w:r>
              <w:rPr>
                <w:sz w:val="18"/>
              </w:rPr>
              <w:t>Exact LMCA-LAD/LCX snap at every phase</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Motion clearance</w:t>
            </w:r>
          </w:p>
        </w:tc>
        <w:tc>
          <w:tcPr>
            <w:tcW w:type="dxa" w:w="4910"/>
            <w:tcMar>
              <w:top w:w="85" w:type="dxa"/>
              <w:start w:w="120" w:type="dxa"/>
              <w:bottom w:w="85" w:type="dxa"/>
              <w:end w:w="120" w:type="dxa"/>
            </w:tcMar>
            <w:vAlign w:val="center"/>
          </w:tcPr>
          <w:p>
            <w:pPr>
              <w:jc w:val="left"/>
            </w:pPr>
            <w:r>
              <w:rPr>
                <w:sz w:val="18"/>
              </w:rPr>
              <w:t>No rejected self-intersection at 0.75 mm policy</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Fixed-size export</w:t>
            </w:r>
          </w:p>
        </w:tc>
        <w:tc>
          <w:tcPr>
            <w:tcW w:type="dxa" w:w="4910"/>
            <w:tcMar>
              <w:top w:w="85" w:type="dxa"/>
              <w:start w:w="120" w:type="dxa"/>
              <w:bottom w:w="85" w:type="dxa"/>
              <w:end w:w="120" w:type="dxa"/>
            </w:tcMar>
            <w:vAlign w:val="center"/>
          </w:tcPr>
          <w:p>
            <w:pPr>
              <w:jc w:val="center"/>
            </w:pPr>
            <w:r>
              <w:rPr>
                <w:sz w:val="18"/>
              </w:rPr>
              <w:t>52 trees; 50 points/branch</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Static identity</w:t>
            </w:r>
          </w:p>
        </w:tc>
        <w:tc>
          <w:tcPr>
            <w:tcW w:type="dxa" w:w="4910"/>
            <w:tcMar>
              <w:top w:w="85" w:type="dxa"/>
              <w:start w:w="120" w:type="dxa"/>
              <w:bottom w:w="85" w:type="dxa"/>
              <w:end w:w="120" w:type="dxa"/>
            </w:tcMar>
            <w:vAlign w:val="center"/>
          </w:tcPr>
          <w:p>
            <w:pPr>
              <w:jc w:val="left"/>
            </w:pPr>
            <w:r>
              <w:rPr>
                <w:sz w:val="18"/>
              </w:rPr>
              <w:t>geometry_static == geometry_cine[0]; max error 0</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Curated case audits</w:t>
            </w:r>
          </w:p>
        </w:tc>
        <w:tc>
          <w:tcPr>
            <w:tcW w:type="dxa" w:w="4910"/>
            <w:tcMar>
              <w:top w:w="85" w:type="dxa"/>
              <w:start w:w="120" w:type="dxa"/>
              <w:bottom w:w="85" w:type="dxa"/>
              <w:end w:w="120" w:type="dxa"/>
            </w:tcMar>
            <w:vAlign w:val="center"/>
          </w:tcPr>
          <w:p>
            <w:pPr>
              <w:jc w:val="center"/>
            </w:pPr>
            <w:r>
              <w:rPr>
                <w:sz w:val="18"/>
              </w:rPr>
              <w:t>4/4 with no warnings</w:t>
            </w:r>
          </w:p>
        </w:tc>
        <w:tc>
          <w:tcPr>
            <w:tcW w:type="dxa" w:w="1700"/>
            <w:tcMar>
              <w:top w:w="85" w:type="dxa"/>
              <w:start w:w="120" w:type="dxa"/>
              <w:bottom w:w="85" w:type="dxa"/>
              <w:end w:w="120" w:type="dxa"/>
            </w:tcMar>
            <w:vAlign w:val="center"/>
          </w:tcPr>
          <w:p>
            <w:pPr>
              <w:jc w:val="center"/>
            </w:pPr>
            <w:r>
              <w:rPr>
                <w:sz w:val="18"/>
              </w:rPr>
              <w:t>PASS</w:t>
            </w:r>
          </w:p>
        </w:tc>
      </w:tr>
      <w:tr>
        <w:trPr>
          <w:cantSplit/>
        </w:trPr>
        <w:tc>
          <w:tcPr>
            <w:tcW w:type="dxa" w:w="2750"/>
            <w:tcMar>
              <w:top w:w="85" w:type="dxa"/>
              <w:start w:w="120" w:type="dxa"/>
              <w:bottom w:w="85" w:type="dxa"/>
              <w:end w:w="120" w:type="dxa"/>
            </w:tcMar>
            <w:vAlign w:val="center"/>
          </w:tcPr>
          <w:p>
            <w:pPr>
              <w:jc w:val="left"/>
            </w:pPr>
            <w:r>
              <w:rPr>
                <w:sz w:val="18"/>
              </w:rPr>
              <w:t>Checksums and VTK readback</w:t>
            </w:r>
          </w:p>
        </w:tc>
        <w:tc>
          <w:tcPr>
            <w:tcW w:type="dxa" w:w="4910"/>
            <w:tcMar>
              <w:top w:w="85" w:type="dxa"/>
              <w:start w:w="120" w:type="dxa"/>
              <w:bottom w:w="85" w:type="dxa"/>
              <w:end w:w="120" w:type="dxa"/>
            </w:tcMar>
            <w:vAlign w:val="center"/>
          </w:tcPr>
          <w:p>
            <w:pPr>
              <w:jc w:val="left"/>
            </w:pPr>
            <w:r>
              <w:rPr>
                <w:sz w:val="18"/>
              </w:rPr>
              <w:t>All four exported case manifests independently verified</w:t>
            </w:r>
          </w:p>
        </w:tc>
        <w:tc>
          <w:tcPr>
            <w:tcW w:type="dxa" w:w="1700"/>
            <w:tcMar>
              <w:top w:w="85" w:type="dxa"/>
              <w:start w:w="120" w:type="dxa"/>
              <w:bottom w:w="85" w:type="dxa"/>
              <w:end w:w="120" w:type="dxa"/>
            </w:tcMar>
            <w:vAlign w:val="center"/>
          </w:tcPr>
          <w:p>
            <w:pPr>
              <w:jc w:val="center"/>
            </w:pPr>
            <w:r>
              <w:rPr>
                <w:sz w:val="18"/>
              </w:rPr>
              <w:t>PASS</w:t>
            </w:r>
          </w:p>
        </w:tc>
      </w:tr>
    </w:tbl>
    <w:p>
      <w:pPr>
        <w:spacing w:after="0"/>
      </w:pPr>
    </w:p>
    <w:p>
      <w:pPr>
        <w:keepNext/>
        <w:jc w:val="center"/>
      </w:pPr>
      <w:r>
        <w:drawing>
          <wp:inline xmlns:a="http://schemas.openxmlformats.org/drawingml/2006/main" xmlns:pic="http://schemas.openxmlformats.org/drawingml/2006/picture">
            <wp:extent cx="5806440" cy="4838700"/>
            <wp:docPr id="8" name="Picture 8" title="Figure 6. Standardized export QC and identity evidence for the 52-tree population." descr="Figure 6. Standardized export QC and identity evidence for the 52-tree population."/>
            <wp:cNvGraphicFramePr>
              <a:graphicFrameLocks noChangeAspect="1"/>
            </wp:cNvGraphicFramePr>
            <a:graphic>
              <a:graphicData uri="http://schemas.openxmlformats.org/drawingml/2006/picture">
                <pic:pic>
                  <pic:nvPicPr>
                    <pic:cNvPr id="0" name="pipeline_qc_report.png"/>
                    <pic:cNvPicPr/>
                  </pic:nvPicPr>
                  <pic:blipFill>
                    <a:blip r:embed="rId18"/>
                    <a:stretch>
                      <a:fillRect/>
                    </a:stretch>
                  </pic:blipFill>
                  <pic:spPr>
                    <a:xfrm>
                      <a:off x="0" y="0"/>
                      <a:ext cx="5806440" cy="4838700"/>
                    </a:xfrm>
                    <a:prstGeom prst="rect"/>
                  </pic:spPr>
                </pic:pic>
              </a:graphicData>
            </a:graphic>
          </wp:inline>
        </w:drawing>
      </w:r>
    </w:p>
    <w:p>
      <w:pPr>
        <w:pStyle w:val="Caption"/>
        <w:keepNext w:val="0"/>
        <w:jc w:val="center"/>
      </w:pPr>
      <w:r>
        <w:rPr>
          <w:i/>
        </w:rPr>
        <w:t>Figure 6. Standardized export QC and identity evidence for the 52-tree population.</w:t>
      </w:r>
    </w:p>
    <w:p>
      <w:pPr>
        <w:pStyle w:val="Heading2"/>
        <w:pageBreakBefore/>
      </w:pPr>
      <w:r>
        <w:t>9.3 Regression and repository QA</w:t>
      </w:r>
    </w:p>
    <w:tbl>
      <w:tblPr>
        <w:tblStyle w:val="TableGrid"/>
        <w:tblW w:type="dxa" w:w="9360"/>
        <w:tblLayout w:type="fixed"/>
        <w:tblLook w:firstColumn="1" w:firstRow="1" w:lastColumn="0" w:lastRow="0" w:noHBand="0" w:noVBand="1" w:val="04A0"/>
        <w:jc w:val="left"/>
        <w:tblInd w:w="0" w:type="dxa"/>
      </w:tblPr>
      <w:tblGrid>
        <w:gridCol w:w="5200"/>
        <w:gridCol w:w="2080"/>
        <w:gridCol w:w="2080"/>
      </w:tblGrid>
      <w:tr>
        <w:trPr>
          <w:cantSplit/>
          <w:tblHeader w:val="true"/>
          <w:cantSplit/>
        </w:trPr>
        <w:tc>
          <w:tcPr>
            <w:tcW w:type="dxa" w:w="5200"/>
            <w:tcMar>
              <w:top w:w="85" w:type="dxa"/>
              <w:start w:w="120" w:type="dxa"/>
              <w:bottom w:w="85" w:type="dxa"/>
              <w:end w:w="120" w:type="dxa"/>
            </w:tcMar>
            <w:vAlign w:val="center"/>
            <w:shd w:fill="EAF2FB"/>
          </w:tcPr>
          <w:p>
            <w:pPr>
              <w:jc w:val="center"/>
            </w:pPr>
            <w:r>
              <w:rPr>
                <w:b/>
                <w:sz w:val="18"/>
              </w:rPr>
              <w:t>Suite</w:t>
            </w:r>
          </w:p>
        </w:tc>
        <w:tc>
          <w:tcPr>
            <w:tcW w:type="dxa" w:w="2080"/>
            <w:tcMar>
              <w:top w:w="85" w:type="dxa"/>
              <w:start w:w="120" w:type="dxa"/>
              <w:bottom w:w="85" w:type="dxa"/>
              <w:end w:w="120" w:type="dxa"/>
            </w:tcMar>
            <w:vAlign w:val="center"/>
            <w:shd w:fill="EAF2FB"/>
          </w:tcPr>
          <w:p>
            <w:pPr>
              <w:jc w:val="center"/>
            </w:pPr>
            <w:r>
              <w:rPr>
                <w:b/>
                <w:sz w:val="18"/>
              </w:rPr>
              <w:t>Passed</w:t>
            </w:r>
          </w:p>
        </w:tc>
        <w:tc>
          <w:tcPr>
            <w:tcW w:type="dxa" w:w="2080"/>
            <w:tcMar>
              <w:top w:w="85" w:type="dxa"/>
              <w:start w:w="120" w:type="dxa"/>
              <w:bottom w:w="85" w:type="dxa"/>
              <w:end w:w="120" w:type="dxa"/>
            </w:tcMar>
            <w:vAlign w:val="center"/>
            <w:shd w:fill="EAF2FB"/>
          </w:tcPr>
          <w:p>
            <w:pPr>
              <w:jc w:val="center"/>
            </w:pPr>
            <w:r>
              <w:rPr>
                <w:b/>
                <w:sz w:val="18"/>
              </w:rPr>
              <w:t>Failed</w:t>
            </w:r>
          </w:p>
        </w:tc>
      </w:tr>
      <w:tr>
        <w:trPr>
          <w:cantSplit/>
        </w:trPr>
        <w:tc>
          <w:tcPr>
            <w:tcW w:type="dxa" w:w="5200"/>
            <w:tcMar>
              <w:top w:w="85" w:type="dxa"/>
              <w:start w:w="120" w:type="dxa"/>
              <w:bottom w:w="85" w:type="dxa"/>
              <w:end w:w="120" w:type="dxa"/>
            </w:tcMar>
            <w:vAlign w:val="center"/>
          </w:tcPr>
          <w:p>
            <w:pPr>
              <w:jc w:val="left"/>
            </w:pPr>
            <w:r>
              <w:rPr>
                <w:sz w:val="18"/>
              </w:rPr>
              <w:t>Staged Batch 2-7 tests</w:t>
            </w:r>
          </w:p>
        </w:tc>
        <w:tc>
          <w:tcPr>
            <w:tcW w:type="dxa" w:w="2080"/>
            <w:tcMar>
              <w:top w:w="85" w:type="dxa"/>
              <w:start w:w="120" w:type="dxa"/>
              <w:bottom w:w="85" w:type="dxa"/>
              <w:end w:w="120" w:type="dxa"/>
            </w:tcMar>
            <w:vAlign w:val="center"/>
          </w:tcPr>
          <w:p>
            <w:pPr>
              <w:jc w:val="center"/>
            </w:pPr>
            <w:r>
              <w:rPr>
                <w:sz w:val="18"/>
              </w:rPr>
              <w:t>61</w:t>
            </w:r>
          </w:p>
        </w:tc>
        <w:tc>
          <w:tcPr>
            <w:tcW w:type="dxa" w:w="2080"/>
            <w:tcMar>
              <w:top w:w="85" w:type="dxa"/>
              <w:start w:w="120" w:type="dxa"/>
              <w:bottom w:w="85" w:type="dxa"/>
              <w:end w:w="120" w:type="dxa"/>
            </w:tcMar>
            <w:vAlign w:val="center"/>
          </w:tcPr>
          <w:p>
            <w:pPr>
              <w:jc w:val="center"/>
            </w:pPr>
            <w:r>
              <w:rPr>
                <w:sz w:val="18"/>
              </w:rPr>
              <w:t>0</w:t>
            </w:r>
          </w:p>
        </w:tc>
      </w:tr>
      <w:tr>
        <w:trPr>
          <w:cantSplit/>
        </w:trPr>
        <w:tc>
          <w:tcPr>
            <w:tcW w:type="dxa" w:w="5200"/>
            <w:tcMar>
              <w:top w:w="85" w:type="dxa"/>
              <w:start w:w="120" w:type="dxa"/>
              <w:bottom w:w="85" w:type="dxa"/>
              <w:end w:w="120" w:type="dxa"/>
            </w:tcMar>
            <w:vAlign w:val="center"/>
          </w:tcPr>
          <w:p>
            <w:pPr>
              <w:jc w:val="left"/>
            </w:pPr>
            <w:r>
              <w:rPr>
                <w:sz w:val="18"/>
              </w:rPr>
              <w:t>Final independent-audit contract tests</w:t>
            </w:r>
          </w:p>
        </w:tc>
        <w:tc>
          <w:tcPr>
            <w:tcW w:type="dxa" w:w="2080"/>
            <w:tcMar>
              <w:top w:w="85" w:type="dxa"/>
              <w:start w:w="120" w:type="dxa"/>
              <w:bottom w:w="85" w:type="dxa"/>
              <w:end w:w="120" w:type="dxa"/>
            </w:tcMar>
            <w:vAlign w:val="center"/>
          </w:tcPr>
          <w:p>
            <w:pPr>
              <w:jc w:val="center"/>
            </w:pPr>
            <w:r>
              <w:rPr>
                <w:sz w:val="18"/>
              </w:rPr>
              <w:t>5</w:t>
            </w:r>
          </w:p>
        </w:tc>
        <w:tc>
          <w:tcPr>
            <w:tcW w:type="dxa" w:w="2080"/>
            <w:tcMar>
              <w:top w:w="85" w:type="dxa"/>
              <w:start w:w="120" w:type="dxa"/>
              <w:bottom w:w="85" w:type="dxa"/>
              <w:end w:w="120" w:type="dxa"/>
            </w:tcMar>
            <w:vAlign w:val="center"/>
          </w:tcPr>
          <w:p>
            <w:pPr>
              <w:jc w:val="center"/>
            </w:pPr>
            <w:r>
              <w:rPr>
                <w:sz w:val="18"/>
              </w:rPr>
              <w:t>0</w:t>
            </w:r>
          </w:p>
        </w:tc>
      </w:tr>
      <w:tr>
        <w:trPr>
          <w:cantSplit/>
        </w:trPr>
        <w:tc>
          <w:tcPr>
            <w:tcW w:type="dxa" w:w="5200"/>
            <w:tcMar>
              <w:top w:w="85" w:type="dxa"/>
              <w:start w:w="120" w:type="dxa"/>
              <w:bottom w:w="85" w:type="dxa"/>
              <w:end w:w="120" w:type="dxa"/>
            </w:tcMar>
            <w:vAlign w:val="center"/>
          </w:tcPr>
          <w:p>
            <w:pPr>
              <w:jc w:val="left"/>
            </w:pPr>
            <w:r>
              <w:rPr>
                <w:sz w:val="18"/>
              </w:rPr>
              <w:t>Focused Person-2 generation tests</w:t>
            </w:r>
          </w:p>
        </w:tc>
        <w:tc>
          <w:tcPr>
            <w:tcW w:type="dxa" w:w="2080"/>
            <w:tcMar>
              <w:top w:w="85" w:type="dxa"/>
              <w:start w:w="120" w:type="dxa"/>
              <w:bottom w:w="85" w:type="dxa"/>
              <w:end w:w="120" w:type="dxa"/>
            </w:tcMar>
            <w:vAlign w:val="center"/>
          </w:tcPr>
          <w:p>
            <w:pPr>
              <w:jc w:val="center"/>
            </w:pPr>
            <w:r>
              <w:rPr>
                <w:sz w:val="18"/>
              </w:rPr>
              <w:t>19</w:t>
            </w:r>
          </w:p>
        </w:tc>
        <w:tc>
          <w:tcPr>
            <w:tcW w:type="dxa" w:w="2080"/>
            <w:tcMar>
              <w:top w:w="85" w:type="dxa"/>
              <w:start w:w="120" w:type="dxa"/>
              <w:bottom w:w="85" w:type="dxa"/>
              <w:end w:w="120" w:type="dxa"/>
            </w:tcMar>
            <w:vAlign w:val="center"/>
          </w:tcPr>
          <w:p>
            <w:pPr>
              <w:jc w:val="center"/>
            </w:pPr>
            <w:r>
              <w:rPr>
                <w:sz w:val="18"/>
              </w:rPr>
              <w:t>0</w:t>
            </w:r>
          </w:p>
        </w:tc>
      </w:tr>
      <w:tr>
        <w:trPr>
          <w:cantSplit/>
        </w:trPr>
        <w:tc>
          <w:tcPr>
            <w:tcW w:type="dxa" w:w="5200"/>
            <w:tcMar>
              <w:top w:w="85" w:type="dxa"/>
              <w:start w:w="120" w:type="dxa"/>
              <w:bottom w:w="85" w:type="dxa"/>
              <w:end w:w="120" w:type="dxa"/>
            </w:tcMar>
            <w:vAlign w:val="center"/>
          </w:tcPr>
          <w:p>
            <w:pPr>
              <w:jc w:val="left"/>
            </w:pPr>
            <w:r>
              <w:rPr>
                <w:sz w:val="18"/>
              </w:rPr>
              <w:t>Integrated public-generator tests</w:t>
            </w:r>
          </w:p>
        </w:tc>
        <w:tc>
          <w:tcPr>
            <w:tcW w:type="dxa" w:w="2080"/>
            <w:tcMar>
              <w:top w:w="85" w:type="dxa"/>
              <w:start w:w="120" w:type="dxa"/>
              <w:bottom w:w="85" w:type="dxa"/>
              <w:end w:w="120" w:type="dxa"/>
            </w:tcMar>
            <w:vAlign w:val="center"/>
          </w:tcPr>
          <w:p>
            <w:pPr>
              <w:jc w:val="center"/>
            </w:pPr>
            <w:r>
              <w:rPr>
                <w:sz w:val="18"/>
              </w:rPr>
              <w:t>5</w:t>
            </w:r>
          </w:p>
        </w:tc>
        <w:tc>
          <w:tcPr>
            <w:tcW w:type="dxa" w:w="2080"/>
            <w:tcMar>
              <w:top w:w="85" w:type="dxa"/>
              <w:start w:w="120" w:type="dxa"/>
              <w:bottom w:w="85" w:type="dxa"/>
              <w:end w:w="120" w:type="dxa"/>
            </w:tcMar>
            <w:vAlign w:val="center"/>
          </w:tcPr>
          <w:p>
            <w:pPr>
              <w:jc w:val="center"/>
            </w:pPr>
            <w:r>
              <w:rPr>
                <w:sz w:val="18"/>
              </w:rPr>
              <w:t>0</w:t>
            </w:r>
          </w:p>
        </w:tc>
      </w:tr>
      <w:tr>
        <w:trPr>
          <w:cantSplit/>
        </w:trPr>
        <w:tc>
          <w:tcPr>
            <w:tcW w:type="dxa" w:w="5200"/>
            <w:tcMar>
              <w:top w:w="85" w:type="dxa"/>
              <w:start w:w="120" w:type="dxa"/>
              <w:bottom w:w="85" w:type="dxa"/>
              <w:end w:w="120" w:type="dxa"/>
            </w:tcMar>
            <w:vAlign w:val="center"/>
          </w:tcPr>
          <w:p>
            <w:pPr>
              <w:jc w:val="left"/>
            </w:pPr>
            <w:r>
              <w:rPr>
                <w:sz w:val="18"/>
              </w:rPr>
              <w:t>Total</w:t>
            </w:r>
          </w:p>
        </w:tc>
        <w:tc>
          <w:tcPr>
            <w:tcW w:type="dxa" w:w="2080"/>
            <w:tcMar>
              <w:top w:w="85" w:type="dxa"/>
              <w:start w:w="120" w:type="dxa"/>
              <w:bottom w:w="85" w:type="dxa"/>
              <w:end w:w="120" w:type="dxa"/>
            </w:tcMar>
            <w:vAlign w:val="center"/>
          </w:tcPr>
          <w:p>
            <w:pPr>
              <w:jc w:val="center"/>
            </w:pPr>
            <w:r>
              <w:rPr>
                <w:sz w:val="18"/>
              </w:rPr>
              <w:t>92</w:t>
            </w:r>
          </w:p>
        </w:tc>
        <w:tc>
          <w:tcPr>
            <w:tcW w:type="dxa" w:w="2080"/>
            <w:tcMar>
              <w:top w:w="85" w:type="dxa"/>
              <w:start w:w="120" w:type="dxa"/>
              <w:bottom w:w="85" w:type="dxa"/>
              <w:end w:w="120" w:type="dxa"/>
            </w:tcMar>
            <w:vAlign w:val="center"/>
          </w:tcPr>
          <w:p>
            <w:pPr>
              <w:jc w:val="center"/>
            </w:pPr>
            <w:r>
              <w:rPr>
                <w:sz w:val="18"/>
              </w:rPr>
              <w:t>0</w:t>
            </w:r>
          </w:p>
        </w:tc>
      </w:tr>
    </w:tbl>
    <w:p>
      <w:pPr>
        <w:spacing w:after="0"/>
      </w:pPr>
    </w:p>
    <w:p>
      <w:r>
        <w:t>Additional release gates passed: Python compileall, dependency consistency (pip check), JSON parsing, four independent export verification runs, VTK first/last-phase readback, SHA-256 integrity, and final Git diff checks.</w:t>
      </w:r>
    </w:p>
    <w:p>
      <w:pPr>
        <w:pStyle w:val="Heading2"/>
        <w:pageBreakBefore w:val="0"/>
      </w:pPr>
      <w:r>
        <w:t>9.4 Generative novelty and internal holdout</w:t>
      </w:r>
    </w:p>
    <w:tbl>
      <w:tblPr>
        <w:tblStyle w:val="TableGrid"/>
        <w:tblW w:type="dxa" w:w="9360"/>
        <w:tblLayout w:type="fixed"/>
        <w:tblLook w:firstColumn="1" w:firstRow="1" w:lastColumn="0" w:lastRow="0" w:noHBand="0" w:noVBand="1" w:val="04A0"/>
        <w:jc w:val="left"/>
        <w:tblInd w:w="0" w:type="dxa"/>
      </w:tblPr>
      <w:tblGrid>
        <w:gridCol w:w="3200"/>
        <w:gridCol w:w="2500"/>
        <w:gridCol w:w="3660"/>
      </w:tblGrid>
      <w:tr>
        <w:trPr>
          <w:cantSplit/>
          <w:tblHeader w:val="true"/>
          <w:cantSplit/>
        </w:trPr>
        <w:tc>
          <w:tcPr>
            <w:tcW w:type="dxa" w:w="3200"/>
            <w:tcMar>
              <w:top w:w="85" w:type="dxa"/>
              <w:start w:w="120" w:type="dxa"/>
              <w:bottom w:w="85" w:type="dxa"/>
              <w:end w:w="120" w:type="dxa"/>
            </w:tcMar>
            <w:vAlign w:val="center"/>
            <w:shd w:fill="EAF2FB"/>
          </w:tcPr>
          <w:p>
            <w:pPr>
              <w:jc w:val="center"/>
            </w:pPr>
            <w:r>
              <w:rPr>
                <w:b/>
                <w:sz w:val="16"/>
              </w:rPr>
              <w:t>Audit result</w:t>
            </w:r>
          </w:p>
        </w:tc>
        <w:tc>
          <w:tcPr>
            <w:tcW w:type="dxa" w:w="2500"/>
            <w:tcMar>
              <w:top w:w="85" w:type="dxa"/>
              <w:start w:w="120" w:type="dxa"/>
              <w:bottom w:w="85" w:type="dxa"/>
              <w:end w:w="120" w:type="dxa"/>
            </w:tcMar>
            <w:vAlign w:val="center"/>
            <w:shd w:fill="EAF2FB"/>
          </w:tcPr>
          <w:p>
            <w:pPr>
              <w:jc w:val="center"/>
            </w:pPr>
            <w:r>
              <w:rPr>
                <w:b/>
                <w:sz w:val="16"/>
              </w:rPr>
              <w:t>Verified value</w:t>
            </w:r>
          </w:p>
        </w:tc>
        <w:tc>
          <w:tcPr>
            <w:tcW w:type="dxa" w:w="3660"/>
            <w:tcMar>
              <w:top w:w="85" w:type="dxa"/>
              <w:start w:w="120" w:type="dxa"/>
              <w:bottom w:w="85" w:type="dxa"/>
              <w:end w:w="120" w:type="dxa"/>
            </w:tcMar>
            <w:vAlign w:val="center"/>
            <w:shd w:fill="EAF2FB"/>
          </w:tcPr>
          <w:p>
            <w:pPr>
              <w:jc w:val="center"/>
            </w:pPr>
            <w:r>
              <w:rPr>
                <w:b/>
                <w:sz w:val="16"/>
              </w:rPr>
              <w:t>Interpretation</w:t>
            </w:r>
          </w:p>
        </w:tc>
      </w:tr>
      <w:tr>
        <w:trPr>
          <w:cantSplit/>
        </w:trPr>
        <w:tc>
          <w:tcPr>
            <w:tcW w:type="dxa" w:w="3200"/>
            <w:tcMar>
              <w:top w:w="85" w:type="dxa"/>
              <w:start w:w="120" w:type="dxa"/>
              <w:bottom w:w="85" w:type="dxa"/>
              <w:end w:w="120" w:type="dxa"/>
            </w:tcMar>
            <w:vAlign w:val="center"/>
          </w:tcPr>
          <w:p>
            <w:pPr>
              <w:jc w:val="left"/>
            </w:pPr>
            <w:r>
              <w:rPr>
                <w:sz w:val="16"/>
              </w:rPr>
              <w:t>Canonical exact duplicates</w:t>
            </w:r>
          </w:p>
        </w:tc>
        <w:tc>
          <w:tcPr>
            <w:tcW w:type="dxa" w:w="2500"/>
            <w:tcMar>
              <w:top w:w="85" w:type="dxa"/>
              <w:start w:w="120" w:type="dxa"/>
              <w:bottom w:w="85" w:type="dxa"/>
              <w:end w:w="120" w:type="dxa"/>
            </w:tcMar>
            <w:vAlign w:val="center"/>
          </w:tcPr>
          <w:p>
            <w:pPr>
              <w:jc w:val="center"/>
            </w:pPr>
            <w:r>
              <w:rPr>
                <w:sz w:val="16"/>
              </w:rPr>
              <w:t>0</w:t>
            </w:r>
          </w:p>
        </w:tc>
        <w:tc>
          <w:tcPr>
            <w:tcW w:type="dxa" w:w="3660"/>
            <w:tcMar>
              <w:top w:w="85" w:type="dxa"/>
              <w:start w:w="120" w:type="dxa"/>
              <w:bottom w:w="85" w:type="dxa"/>
              <w:end w:w="120" w:type="dxa"/>
            </w:tcMar>
            <w:vAlign w:val="center"/>
          </w:tcPr>
          <w:p>
            <w:pPr>
              <w:jc w:val="left"/>
            </w:pPr>
            <w:r>
              <w:rPr>
                <w:sz w:val="16"/>
              </w:rPr>
              <w:t>No generated fixed representation is numerically identical to training</w:t>
            </w:r>
          </w:p>
        </w:tc>
      </w:tr>
      <w:tr>
        <w:trPr>
          <w:cantSplit/>
        </w:trPr>
        <w:tc>
          <w:tcPr>
            <w:tcW w:type="dxa" w:w="3200"/>
            <w:tcMar>
              <w:top w:w="85" w:type="dxa"/>
              <w:start w:w="120" w:type="dxa"/>
              <w:bottom w:w="85" w:type="dxa"/>
              <w:end w:w="120" w:type="dxa"/>
            </w:tcMar>
            <w:vAlign w:val="center"/>
          </w:tcPr>
          <w:p>
            <w:pPr>
              <w:jc w:val="left"/>
            </w:pPr>
            <w:r>
              <w:rPr>
                <w:sz w:val="16"/>
              </w:rPr>
              <w:t>Near duplicates (&lt;0.1 mm RMS coordinate)</w:t>
            </w:r>
          </w:p>
        </w:tc>
        <w:tc>
          <w:tcPr>
            <w:tcW w:type="dxa" w:w="2500"/>
            <w:tcMar>
              <w:top w:w="85" w:type="dxa"/>
              <w:start w:w="120" w:type="dxa"/>
              <w:bottom w:w="85" w:type="dxa"/>
              <w:end w:w="120" w:type="dxa"/>
            </w:tcMar>
            <w:vAlign w:val="center"/>
          </w:tcPr>
          <w:p>
            <w:pPr>
              <w:jc w:val="center"/>
            </w:pPr>
            <w:r>
              <w:rPr>
                <w:sz w:val="16"/>
              </w:rPr>
              <w:t>0</w:t>
            </w:r>
          </w:p>
        </w:tc>
        <w:tc>
          <w:tcPr>
            <w:tcW w:type="dxa" w:w="3660"/>
            <w:tcMar>
              <w:top w:w="85" w:type="dxa"/>
              <w:start w:w="120" w:type="dxa"/>
              <w:bottom w:w="85" w:type="dxa"/>
              <w:end w:w="120" w:type="dxa"/>
            </w:tcMar>
            <w:vAlign w:val="center"/>
          </w:tcPr>
          <w:p>
            <w:pPr>
              <w:jc w:val="left"/>
            </w:pPr>
            <w:r>
              <w:rPr>
                <w:sz w:val="16"/>
              </w:rPr>
              <w:t>No effective duplicates at the declared threshold</w:t>
            </w:r>
          </w:p>
        </w:tc>
      </w:tr>
      <w:tr>
        <w:trPr>
          <w:cantSplit/>
        </w:trPr>
        <w:tc>
          <w:tcPr>
            <w:tcW w:type="dxa" w:w="3200"/>
            <w:tcMar>
              <w:top w:w="85" w:type="dxa"/>
              <w:start w:w="120" w:type="dxa"/>
              <w:bottom w:w="85" w:type="dxa"/>
              <w:end w:w="120" w:type="dxa"/>
            </w:tcMar>
            <w:vAlign w:val="center"/>
          </w:tcPr>
          <w:p>
            <w:pPr>
              <w:jc w:val="left"/>
            </w:pPr>
            <w:r>
              <w:rPr>
                <w:sz w:val="16"/>
              </w:rPr>
              <w:t>Mean displacement from scheduled baseline</w:t>
            </w:r>
          </w:p>
        </w:tc>
        <w:tc>
          <w:tcPr>
            <w:tcW w:type="dxa" w:w="2500"/>
            <w:tcMar>
              <w:top w:w="85" w:type="dxa"/>
              <w:start w:w="120" w:type="dxa"/>
              <w:bottom w:w="85" w:type="dxa"/>
              <w:end w:w="120" w:type="dxa"/>
            </w:tcMar>
            <w:vAlign w:val="center"/>
          </w:tcPr>
          <w:p>
            <w:pPr>
              <w:jc w:val="center"/>
            </w:pPr>
            <w:r>
              <w:rPr>
                <w:sz w:val="16"/>
              </w:rPr>
              <w:t>0.934 mm RMS point</w:t>
            </w:r>
          </w:p>
        </w:tc>
        <w:tc>
          <w:tcPr>
            <w:tcW w:type="dxa" w:w="3660"/>
            <w:tcMar>
              <w:top w:w="85" w:type="dxa"/>
              <w:start w:w="120" w:type="dxa"/>
              <w:bottom w:w="85" w:type="dxa"/>
              <w:end w:w="120" w:type="dxa"/>
            </w:tcMar>
            <w:vAlign w:val="center"/>
          </w:tcPr>
          <w:p>
            <w:pPr>
              <w:jc w:val="left"/>
            </w:pPr>
            <w:r>
              <w:rPr>
                <w:sz w:val="16"/>
              </w:rPr>
              <w:t>Small but non-trivial conservative innovation</w:t>
            </w:r>
          </w:p>
        </w:tc>
      </w:tr>
      <w:tr>
        <w:trPr>
          <w:cantSplit/>
        </w:trPr>
        <w:tc>
          <w:tcPr>
            <w:tcW w:type="dxa" w:w="3200"/>
            <w:tcMar>
              <w:top w:w="85" w:type="dxa"/>
              <w:start w:w="120" w:type="dxa"/>
              <w:bottom w:w="85" w:type="dxa"/>
              <w:end w:w="120" w:type="dxa"/>
            </w:tcMar>
            <w:vAlign w:val="center"/>
          </w:tcPr>
          <w:p>
            <w:pPr>
              <w:jc w:val="left"/>
            </w:pPr>
            <w:r>
              <w:rPr>
                <w:sz w:val="16"/>
              </w:rPr>
              <w:t>Median nearest-training distance</w:t>
            </w:r>
          </w:p>
        </w:tc>
        <w:tc>
          <w:tcPr>
            <w:tcW w:type="dxa" w:w="2500"/>
            <w:tcMar>
              <w:top w:w="85" w:type="dxa"/>
              <w:start w:w="120" w:type="dxa"/>
              <w:bottom w:w="85" w:type="dxa"/>
              <w:end w:w="120" w:type="dxa"/>
            </w:tcMar>
            <w:vAlign w:val="center"/>
          </w:tcPr>
          <w:p>
            <w:pPr>
              <w:jc w:val="center"/>
            </w:pPr>
            <w:r>
              <w:rPr>
                <w:sz w:val="16"/>
              </w:rPr>
              <w:t>0.437 mm RMS coordinate</w:t>
            </w:r>
          </w:p>
        </w:tc>
        <w:tc>
          <w:tcPr>
            <w:tcW w:type="dxa" w:w="3660"/>
            <w:tcMar>
              <w:top w:w="85" w:type="dxa"/>
              <w:start w:w="120" w:type="dxa"/>
              <w:bottom w:w="85" w:type="dxa"/>
              <w:end w:w="120" w:type="dxa"/>
            </w:tcMar>
            <w:vAlign w:val="center"/>
          </w:tcPr>
          <w:p>
            <w:pPr>
              <w:jc w:val="left"/>
            </w:pPr>
            <w:r>
              <w:rPr>
                <w:sz w:val="16"/>
              </w:rPr>
              <w:t>Bootstrap derivatives remain close to learned support</w:t>
            </w:r>
          </w:p>
        </w:tc>
      </w:tr>
      <w:tr>
        <w:trPr>
          <w:cantSplit/>
        </w:trPr>
        <w:tc>
          <w:tcPr>
            <w:tcW w:type="dxa" w:w="3200"/>
            <w:tcMar>
              <w:top w:w="85" w:type="dxa"/>
              <w:start w:w="120" w:type="dxa"/>
              <w:bottom w:w="85" w:type="dxa"/>
              <w:end w:w="120" w:type="dxa"/>
            </w:tcMar>
            <w:vAlign w:val="center"/>
          </w:tcPr>
          <w:p>
            <w:pPr>
              <w:jc w:val="left"/>
            </w:pPr>
            <w:r>
              <w:rPr>
                <w:sz w:val="16"/>
              </w:rPr>
              <w:t>Five-baseline variant audit</w:t>
            </w:r>
          </w:p>
        </w:tc>
        <w:tc>
          <w:tcPr>
            <w:tcW w:type="dxa" w:w="2500"/>
            <w:tcMar>
              <w:top w:w="85" w:type="dxa"/>
              <w:start w:w="120" w:type="dxa"/>
              <w:bottom w:w="85" w:type="dxa"/>
              <w:end w:w="120" w:type="dxa"/>
            </w:tcMar>
            <w:vAlign w:val="center"/>
          </w:tcPr>
          <w:p>
            <w:pPr>
              <w:jc w:val="left"/>
            </w:pPr>
            <w:r>
              <w:rPr>
                <w:sz w:val="16"/>
              </w:rPr>
              <w:t>23/25 direct variants accepted</w:t>
            </w:r>
          </w:p>
        </w:tc>
        <w:tc>
          <w:tcPr>
            <w:tcW w:type="dxa" w:w="3660"/>
            <w:tcMar>
              <w:top w:w="85" w:type="dxa"/>
              <w:start w:w="120" w:type="dxa"/>
              <w:bottom w:w="85" w:type="dxa"/>
              <w:end w:w="120" w:type="dxa"/>
            </w:tcMar>
            <w:vAlign w:val="center"/>
          </w:tcPr>
          <w:p>
            <w:pPr>
              <w:jc w:val="left"/>
            </w:pPr>
            <w:r>
              <w:rPr>
                <w:sz w:val="16"/>
              </w:rPr>
              <w:t>Five variants each; rejection remains explicit</w:t>
            </w:r>
          </w:p>
        </w:tc>
      </w:tr>
      <w:tr>
        <w:trPr>
          <w:cantSplit/>
        </w:trPr>
        <w:tc>
          <w:tcPr>
            <w:tcW w:type="dxa" w:w="3200"/>
            <w:tcMar>
              <w:top w:w="85" w:type="dxa"/>
              <w:start w:w="120" w:type="dxa"/>
              <w:bottom w:w="85" w:type="dxa"/>
              <w:end w:w="120" w:type="dxa"/>
            </w:tcMar>
            <w:vAlign w:val="center"/>
          </w:tcPr>
          <w:p>
            <w:pPr>
              <w:jc w:val="left"/>
            </w:pPr>
            <w:r>
              <w:rPr>
                <w:sz w:val="16"/>
              </w:rPr>
              <w:t>Internal holdout</w:t>
            </w:r>
          </w:p>
        </w:tc>
        <w:tc>
          <w:tcPr>
            <w:tcW w:type="dxa" w:w="2500"/>
            <w:tcMar>
              <w:top w:w="85" w:type="dxa"/>
              <w:start w:w="120" w:type="dxa"/>
              <w:bottom w:w="85" w:type="dxa"/>
              <w:end w:w="120" w:type="dxa"/>
            </w:tcMar>
            <w:vAlign w:val="center"/>
          </w:tcPr>
          <w:p>
            <w:pPr>
              <w:jc w:val="left"/>
            </w:pPr>
            <w:r>
              <w:rPr>
                <w:sz w:val="16"/>
              </w:rPr>
              <w:t>5 folds; train 41-42; holdout 10-11</w:t>
            </w:r>
          </w:p>
        </w:tc>
        <w:tc>
          <w:tcPr>
            <w:tcW w:type="dxa" w:w="3660"/>
            <w:tcMar>
              <w:top w:w="85" w:type="dxa"/>
              <w:start w:w="120" w:type="dxa"/>
              <w:bottom w:w="85" w:type="dxa"/>
              <w:end w:w="120" w:type="dxa"/>
            </w:tcMar>
            <w:vAlign w:val="center"/>
          </w:tcPr>
          <w:p>
            <w:pPr>
              <w:jc w:val="left"/>
            </w:pPr>
            <w:r>
              <w:rPr>
                <w:sz w:val="16"/>
              </w:rPr>
              <w:t>Source-grouped; not external validation</w:t>
            </w:r>
          </w:p>
        </w:tc>
      </w:tr>
      <w:tr>
        <w:trPr>
          <w:cantSplit/>
        </w:trPr>
        <w:tc>
          <w:tcPr>
            <w:tcW w:type="dxa" w:w="3200"/>
            <w:tcMar>
              <w:top w:w="85" w:type="dxa"/>
              <w:start w:w="120" w:type="dxa"/>
              <w:bottom w:w="85" w:type="dxa"/>
              <w:end w:w="120" w:type="dxa"/>
            </w:tcMar>
            <w:vAlign w:val="center"/>
          </w:tcPr>
          <w:p>
            <w:pPr>
              <w:jc w:val="left"/>
            </w:pPr>
            <w:r>
              <w:rPr>
                <w:sz w:val="16"/>
              </w:rPr>
              <w:t>Holdout first-draw anatomy acceptance</w:t>
            </w:r>
          </w:p>
        </w:tc>
        <w:tc>
          <w:tcPr>
            <w:tcW w:type="dxa" w:w="2500"/>
            <w:tcMar>
              <w:top w:w="85" w:type="dxa"/>
              <w:start w:w="120" w:type="dxa"/>
              <w:bottom w:w="85" w:type="dxa"/>
              <w:end w:w="120" w:type="dxa"/>
            </w:tcMar>
            <w:vAlign w:val="center"/>
          </w:tcPr>
          <w:p>
            <w:pPr>
              <w:jc w:val="center"/>
            </w:pPr>
            <w:r>
              <w:rPr>
                <w:sz w:val="16"/>
              </w:rPr>
              <w:t>78.8%</w:t>
            </w:r>
          </w:p>
        </w:tc>
        <w:tc>
          <w:tcPr>
            <w:tcW w:type="dxa" w:w="3660"/>
            <w:tcMar>
              <w:top w:w="85" w:type="dxa"/>
              <w:start w:w="120" w:type="dxa"/>
              <w:bottom w:w="85" w:type="dxa"/>
              <w:end w:w="120" w:type="dxa"/>
            </w:tcMar>
            <w:vAlign w:val="center"/>
          </w:tcPr>
          <w:p>
            <w:pPr>
              <w:jc w:val="left"/>
            </w:pPr>
            <w:r>
              <w:rPr>
                <w:sz w:val="16"/>
              </w:rPr>
              <w:t>No threshold tuning; rejected draws remain visible</w:t>
            </w:r>
          </w:p>
        </w:tc>
      </w:tr>
      <w:tr>
        <w:trPr>
          <w:cantSplit/>
        </w:trPr>
        <w:tc>
          <w:tcPr>
            <w:tcW w:type="dxa" w:w="3200"/>
            <w:tcMar>
              <w:top w:w="85" w:type="dxa"/>
              <w:start w:w="120" w:type="dxa"/>
              <w:bottom w:w="85" w:type="dxa"/>
              <w:end w:w="120" w:type="dxa"/>
            </w:tcMar>
            <w:vAlign w:val="center"/>
          </w:tcPr>
          <w:p>
            <w:pPr>
              <w:jc w:val="left"/>
            </w:pPr>
            <w:r>
              <w:rPr>
                <w:sz w:val="16"/>
              </w:rPr>
              <w:t>Leakage</w:t>
            </w:r>
          </w:p>
        </w:tc>
        <w:tc>
          <w:tcPr>
            <w:tcW w:type="dxa" w:w="2500"/>
            <w:tcMar>
              <w:top w:w="85" w:type="dxa"/>
              <w:start w:w="120" w:type="dxa"/>
              <w:bottom w:w="85" w:type="dxa"/>
              <w:end w:w="120" w:type="dxa"/>
            </w:tcMar>
            <w:vAlign w:val="center"/>
          </w:tcPr>
          <w:p>
            <w:pPr>
              <w:jc w:val="center"/>
            </w:pPr>
            <w:r>
              <w:rPr>
                <w:sz w:val="16"/>
              </w:rPr>
              <w:t>0 source / 0 baseline</w:t>
            </w:r>
          </w:p>
        </w:tc>
        <w:tc>
          <w:tcPr>
            <w:tcW w:type="dxa" w:w="3660"/>
            <w:tcMar>
              <w:top w:w="85" w:type="dxa"/>
              <w:start w:w="120" w:type="dxa"/>
              <w:bottom w:w="85" w:type="dxa"/>
              <w:end w:w="120" w:type="dxa"/>
            </w:tcMar>
            <w:vAlign w:val="center"/>
          </w:tcPr>
          <w:p>
            <w:pPr>
              <w:jc w:val="left"/>
            </w:pPr>
            <w:r>
              <w:rPr>
                <w:sz w:val="16"/>
              </w:rPr>
              <w:t>All derivatives grouped by source_case_id</w:t>
            </w:r>
          </w:p>
        </w:tc>
      </w:tr>
    </w:tbl>
    <w:p>
      <w:pPr>
        <w:spacing w:after="0"/>
      </w:pPr>
    </w:p>
    <w:p>
      <w:r>
        <w:t>A controlled strategy comparison retained empirical bootstrap plus 0.04 PCA innovation. Pure bounded PCA-score sampling accepted only 4/52 direct candidates and showed large local turns; a 0.10 moderate innovation was more diverse but lacked the canonical strategy's demonstrated 50/50 population-comparison result. The selection balances anatomical validity, population fidelity, and measurable non-identity rather than maximizing acceptance alone.</w:t>
      </w:r>
    </w:p>
    <w:p>
      <w:pPr>
        <w:keepNext/>
        <w:jc w:val="center"/>
      </w:pPr>
      <w:r>
        <w:drawing>
          <wp:inline xmlns:a="http://schemas.openxmlformats.org/drawingml/2006/main" xmlns:pic="http://schemas.openxmlformats.org/drawingml/2006/picture">
            <wp:extent cx="5806440" cy="2339406"/>
            <wp:docPr id="9" name="Picture 9" title="Canonical geometry/PCA novelty audit." descr="Canonical geometry/PCA novelty audit."/>
            <wp:cNvGraphicFramePr>
              <a:graphicFrameLocks noChangeAspect="1"/>
            </wp:cNvGraphicFramePr>
            <a:graphic>
              <a:graphicData uri="http://schemas.openxmlformats.org/drawingml/2006/picture">
                <pic:pic>
                  <pic:nvPicPr>
                    <pic:cNvPr id="0" name="09_generation_novelty.png"/>
                    <pic:cNvPicPr/>
                  </pic:nvPicPr>
                  <pic:blipFill>
                    <a:blip r:embed="rId19"/>
                    <a:stretch>
                      <a:fillRect/>
                    </a:stretch>
                  </pic:blipFill>
                  <pic:spPr>
                    <a:xfrm>
                      <a:off x="0" y="0"/>
                      <a:ext cx="5806440" cy="2339406"/>
                    </a:xfrm>
                    <a:prstGeom prst="rect"/>
                  </pic:spPr>
                </pic:pic>
              </a:graphicData>
            </a:graphic>
          </wp:inline>
        </w:drawing>
      </w:r>
    </w:p>
    <w:p>
      <w:pPr>
        <w:pStyle w:val="Caption"/>
        <w:keepNext w:val="0"/>
        <w:jc w:val="center"/>
      </w:pPr>
      <w:r>
        <w:rPr>
          <w:i/>
        </w:rPr>
        <w:t>Canonical geometry/PCA novelty audit.</w:t>
      </w:r>
    </w:p>
    <w:p>
      <w:pPr>
        <w:keepNext/>
        <w:jc w:val="center"/>
      </w:pPr>
      <w:r>
        <w:drawing>
          <wp:inline xmlns:a="http://schemas.openxmlformats.org/drawingml/2006/main" xmlns:pic="http://schemas.openxmlformats.org/drawingml/2006/picture">
            <wp:extent cx="5806440" cy="2383155"/>
            <wp:docPr id="10" name="Picture 10" title="Source-grouped five-fold internal holdout evidence." descr="Source-grouped five-fold internal holdout evidence."/>
            <wp:cNvGraphicFramePr>
              <a:graphicFrameLocks noChangeAspect="1"/>
            </wp:cNvGraphicFramePr>
            <a:graphic>
              <a:graphicData uri="http://schemas.openxmlformats.org/drawingml/2006/picture">
                <pic:pic>
                  <pic:nvPicPr>
                    <pic:cNvPr id="0" name="10_holdout_results.png"/>
                    <pic:cNvPicPr/>
                  </pic:nvPicPr>
                  <pic:blipFill>
                    <a:blip r:embed="rId20"/>
                    <a:stretch>
                      <a:fillRect/>
                    </a:stretch>
                  </pic:blipFill>
                  <pic:spPr>
                    <a:xfrm>
                      <a:off x="0" y="0"/>
                      <a:ext cx="5806440" cy="2383155"/>
                    </a:xfrm>
                    <a:prstGeom prst="rect"/>
                  </pic:spPr>
                </pic:pic>
              </a:graphicData>
            </a:graphic>
          </wp:inline>
        </w:drawing>
      </w:r>
    </w:p>
    <w:p>
      <w:pPr>
        <w:pStyle w:val="Caption"/>
        <w:keepNext w:val="0"/>
        <w:jc w:val="center"/>
      </w:pPr>
      <w:r>
        <w:rPr>
          <w:i/>
        </w:rPr>
        <w:t>Source-grouped five-fold internal holdout evidence.</w:t>
      </w:r>
    </w:p>
    <w:p>
      <w:pPr>
        <w:pStyle w:val="Heading1"/>
        <w:pageBreakBefore/>
      </w:pPr>
      <w:r>
        <w:t>10. Curated case-by-case deliverables</w:t>
      </w:r>
    </w:p>
    <w:p>
      <w:r>
        <w:t>All four cases use source case 63.label, seed 20260822, PCA scale 0.04, and identical XYZ centerlines. Their differences therefore isolate disease and local compliance rather than anatomy. Each case contains 10 frames, three branches, and 50 exported points per branch.</w:t>
      </w:r>
    </w:p>
    <w:tbl>
      <w:tblPr>
        <w:tblStyle w:val="TableGrid"/>
        <w:tblW w:type="dxa" w:w="9360"/>
        <w:tblLayout w:type="fixed"/>
        <w:tblLook w:firstColumn="1" w:firstRow="1" w:lastColumn="0" w:lastRow="0" w:noHBand="0" w:noVBand="1" w:val="04A0"/>
        <w:jc w:val="left"/>
        <w:tblInd w:w="0" w:type="dxa"/>
      </w:tblPr>
      <w:tblGrid>
        <w:gridCol w:w="1700"/>
        <w:gridCol w:w="4920"/>
        <w:gridCol w:w="1550"/>
        <w:gridCol w:w="1190"/>
      </w:tblGrid>
      <w:tr>
        <w:trPr>
          <w:cantSplit/>
          <w:tblHeader w:val="true"/>
          <w:cantSplit/>
        </w:trPr>
        <w:tc>
          <w:tcPr>
            <w:tcW w:type="dxa" w:w="1700"/>
            <w:tcMar>
              <w:top w:w="85" w:type="dxa"/>
              <w:start w:w="120" w:type="dxa"/>
              <w:bottom w:w="85" w:type="dxa"/>
              <w:end w:w="120" w:type="dxa"/>
            </w:tcMar>
            <w:vAlign w:val="center"/>
            <w:shd w:fill="EAF2FB"/>
          </w:tcPr>
          <w:p>
            <w:pPr>
              <w:jc w:val="center"/>
            </w:pPr>
            <w:r>
              <w:rPr>
                <w:b/>
                <w:sz w:val="17"/>
              </w:rPr>
              <w:t>Case</w:t>
            </w:r>
          </w:p>
        </w:tc>
        <w:tc>
          <w:tcPr>
            <w:tcW w:type="dxa" w:w="4920"/>
            <w:tcMar>
              <w:top w:w="85" w:type="dxa"/>
              <w:start w:w="120" w:type="dxa"/>
              <w:bottom w:w="85" w:type="dxa"/>
              <w:end w:w="120" w:type="dxa"/>
            </w:tcMar>
            <w:vAlign w:val="center"/>
            <w:shd w:fill="EAF2FB"/>
          </w:tcPr>
          <w:p>
            <w:pPr>
              <w:jc w:val="center"/>
            </w:pPr>
            <w:r>
              <w:rPr>
                <w:b/>
                <w:sz w:val="17"/>
              </w:rPr>
              <w:t>Disease result</w:t>
            </w:r>
          </w:p>
        </w:tc>
        <w:tc>
          <w:tcPr>
            <w:tcW w:type="dxa" w:w="1550"/>
            <w:tcMar>
              <w:top w:w="85" w:type="dxa"/>
              <w:start w:w="120" w:type="dxa"/>
              <w:bottom w:w="85" w:type="dxa"/>
              <w:end w:w="120" w:type="dxa"/>
            </w:tcMar>
            <w:vAlign w:val="center"/>
            <w:shd w:fill="EAF2FB"/>
          </w:tcPr>
          <w:p>
            <w:pPr>
              <w:jc w:val="center"/>
            </w:pPr>
            <w:r>
              <w:rPr>
                <w:b/>
                <w:sz w:val="17"/>
              </w:rPr>
              <w:t>Maximum motion</w:t>
            </w:r>
          </w:p>
        </w:tc>
        <w:tc>
          <w:tcPr>
            <w:tcW w:type="dxa" w:w="1190"/>
            <w:tcMar>
              <w:top w:w="85" w:type="dxa"/>
              <w:start w:w="120" w:type="dxa"/>
              <w:bottom w:w="85" w:type="dxa"/>
              <w:end w:w="120" w:type="dxa"/>
            </w:tcMar>
            <w:vAlign w:val="center"/>
            <w:shd w:fill="EAF2FB"/>
          </w:tcPr>
          <w:p>
            <w:pPr>
              <w:jc w:val="center"/>
            </w:pPr>
            <w:r>
              <w:rPr>
                <w:b/>
                <w:sz w:val="17"/>
              </w:rPr>
              <w:t>Audit</w:t>
            </w:r>
          </w:p>
        </w:tc>
      </w:tr>
      <w:tr>
        <w:trPr>
          <w:cantSplit/>
        </w:trPr>
        <w:tc>
          <w:tcPr>
            <w:tcW w:type="dxa" w:w="1700"/>
            <w:tcMar>
              <w:top w:w="85" w:type="dxa"/>
              <w:start w:w="120" w:type="dxa"/>
              <w:bottom w:w="85" w:type="dxa"/>
              <w:end w:w="120" w:type="dxa"/>
            </w:tcMar>
            <w:vAlign w:val="center"/>
          </w:tcPr>
          <w:p>
            <w:pPr>
              <w:jc w:val="left"/>
            </w:pPr>
            <w:r>
              <w:rPr>
                <w:sz w:val="17"/>
              </w:rPr>
              <w:t>healthy</w:t>
            </w:r>
          </w:p>
        </w:tc>
        <w:tc>
          <w:tcPr>
            <w:tcW w:type="dxa" w:w="4920"/>
            <w:tcMar>
              <w:top w:w="85" w:type="dxa"/>
              <w:start w:w="120" w:type="dxa"/>
              <w:bottom w:w="85" w:type="dxa"/>
              <w:end w:w="120" w:type="dxa"/>
            </w:tcMar>
            <w:vAlign w:val="center"/>
          </w:tcPr>
          <w:p>
            <w:pPr>
              <w:jc w:val="left"/>
            </w:pPr>
            <w:r>
              <w:rPr>
                <w:sz w:val="17"/>
              </w:rPr>
              <w:t>No lesion; healthy taper reference</w:t>
            </w:r>
          </w:p>
        </w:tc>
        <w:tc>
          <w:tcPr>
            <w:tcW w:type="dxa" w:w="1550"/>
            <w:tcMar>
              <w:top w:w="85" w:type="dxa"/>
              <w:start w:w="120" w:type="dxa"/>
              <w:bottom w:w="85" w:type="dxa"/>
              <w:end w:w="120" w:type="dxa"/>
            </w:tcMar>
            <w:vAlign w:val="center"/>
          </w:tcPr>
          <w:p>
            <w:pPr>
              <w:jc w:val="center"/>
            </w:pPr>
            <w:r>
              <w:rPr>
                <w:sz w:val="17"/>
              </w:rPr>
              <w:t>7.810 mm</w:t>
            </w:r>
          </w:p>
        </w:tc>
        <w:tc>
          <w:tcPr>
            <w:tcW w:type="dxa" w:w="1190"/>
            <w:tcMar>
              <w:top w:w="85" w:type="dxa"/>
              <w:start w:w="120" w:type="dxa"/>
              <w:bottom w:w="85" w:type="dxa"/>
              <w:end w:w="120" w:type="dxa"/>
            </w:tcMar>
            <w:vAlign w:val="center"/>
          </w:tcPr>
          <w:p>
            <w:pPr>
              <w:jc w:val="center"/>
            </w:pPr>
            <w:r>
              <w:rPr>
                <w:sz w:val="17"/>
              </w:rPr>
              <w:t>PASS</w:t>
            </w:r>
          </w:p>
        </w:tc>
      </w:tr>
      <w:tr>
        <w:trPr>
          <w:cantSplit/>
        </w:trPr>
        <w:tc>
          <w:tcPr>
            <w:tcW w:type="dxa" w:w="1700"/>
            <w:tcMar>
              <w:top w:w="85" w:type="dxa"/>
              <w:start w:w="120" w:type="dxa"/>
              <w:bottom w:w="85" w:type="dxa"/>
              <w:end w:w="120" w:type="dxa"/>
            </w:tcMar>
            <w:vAlign w:val="center"/>
          </w:tcPr>
          <w:p>
            <w:pPr>
              <w:jc w:val="left"/>
            </w:pPr>
            <w:r>
              <w:rPr>
                <w:sz w:val="17"/>
              </w:rPr>
              <w:t>focal_lad</w:t>
            </w:r>
          </w:p>
        </w:tc>
        <w:tc>
          <w:tcPr>
            <w:tcW w:type="dxa" w:w="4920"/>
            <w:tcMar>
              <w:top w:w="85" w:type="dxa"/>
              <w:start w:w="120" w:type="dxa"/>
              <w:bottom w:w="85" w:type="dxa"/>
              <w:end w:w="120" w:type="dxa"/>
            </w:tcMar>
            <w:vAlign w:val="center"/>
          </w:tcPr>
          <w:p>
            <w:pPr>
              <w:jc w:val="left"/>
            </w:pPr>
            <w:r>
              <w:rPr>
                <w:sz w:val="17"/>
              </w:rPr>
              <w:t>LAD: 64.8% radius, 87.6% area; minimum lumen diameter 0.756 mm</w:t>
            </w:r>
          </w:p>
        </w:tc>
        <w:tc>
          <w:tcPr>
            <w:tcW w:type="dxa" w:w="1550"/>
            <w:tcMar>
              <w:top w:w="85" w:type="dxa"/>
              <w:start w:w="120" w:type="dxa"/>
              <w:bottom w:w="85" w:type="dxa"/>
              <w:end w:w="120" w:type="dxa"/>
            </w:tcMar>
            <w:vAlign w:val="center"/>
          </w:tcPr>
          <w:p>
            <w:pPr>
              <w:jc w:val="center"/>
            </w:pPr>
            <w:r>
              <w:rPr>
                <w:sz w:val="17"/>
              </w:rPr>
              <w:t>7.810 mm</w:t>
            </w:r>
          </w:p>
        </w:tc>
        <w:tc>
          <w:tcPr>
            <w:tcW w:type="dxa" w:w="1190"/>
            <w:tcMar>
              <w:top w:w="85" w:type="dxa"/>
              <w:start w:w="120" w:type="dxa"/>
              <w:bottom w:w="85" w:type="dxa"/>
              <w:end w:w="120" w:type="dxa"/>
            </w:tcMar>
            <w:vAlign w:val="center"/>
          </w:tcPr>
          <w:p>
            <w:pPr>
              <w:jc w:val="center"/>
            </w:pPr>
            <w:r>
              <w:rPr>
                <w:sz w:val="17"/>
              </w:rPr>
              <w:t>PASS</w:t>
            </w:r>
          </w:p>
        </w:tc>
      </w:tr>
      <w:tr>
        <w:trPr>
          <w:cantSplit/>
        </w:trPr>
        <w:tc>
          <w:tcPr>
            <w:tcW w:type="dxa" w:w="1700"/>
            <w:tcMar>
              <w:top w:w="85" w:type="dxa"/>
              <w:start w:w="120" w:type="dxa"/>
              <w:bottom w:w="85" w:type="dxa"/>
              <w:end w:w="120" w:type="dxa"/>
            </w:tcMar>
            <w:vAlign w:val="center"/>
          </w:tcPr>
          <w:p>
            <w:pPr>
              <w:jc w:val="left"/>
            </w:pPr>
            <w:r>
              <w:rPr>
                <w:sz w:val="17"/>
              </w:rPr>
              <w:t>diffuse_lcx</w:t>
            </w:r>
          </w:p>
        </w:tc>
        <w:tc>
          <w:tcPr>
            <w:tcW w:type="dxa" w:w="4920"/>
            <w:tcMar>
              <w:top w:w="85" w:type="dxa"/>
              <w:start w:w="120" w:type="dxa"/>
              <w:bottom w:w="85" w:type="dxa"/>
              <w:end w:w="120" w:type="dxa"/>
            </w:tcMar>
            <w:vAlign w:val="center"/>
          </w:tcPr>
          <w:p>
            <w:pPr>
              <w:jc w:val="left"/>
            </w:pPr>
            <w:r>
              <w:rPr>
                <w:sz w:val="17"/>
              </w:rPr>
              <w:t>LCX: 45.0% radius, 69.8% area; minimum lumen diameter 1.082 mm</w:t>
            </w:r>
          </w:p>
        </w:tc>
        <w:tc>
          <w:tcPr>
            <w:tcW w:type="dxa" w:w="1550"/>
            <w:tcMar>
              <w:top w:w="85" w:type="dxa"/>
              <w:start w:w="120" w:type="dxa"/>
              <w:bottom w:w="85" w:type="dxa"/>
              <w:end w:w="120" w:type="dxa"/>
            </w:tcMar>
            <w:vAlign w:val="center"/>
          </w:tcPr>
          <w:p>
            <w:pPr>
              <w:jc w:val="center"/>
            </w:pPr>
            <w:r>
              <w:rPr>
                <w:sz w:val="17"/>
              </w:rPr>
              <w:t>7.810 mm</w:t>
            </w:r>
          </w:p>
        </w:tc>
        <w:tc>
          <w:tcPr>
            <w:tcW w:type="dxa" w:w="1190"/>
            <w:tcMar>
              <w:top w:w="85" w:type="dxa"/>
              <w:start w:w="120" w:type="dxa"/>
              <w:bottom w:w="85" w:type="dxa"/>
              <w:end w:w="120" w:type="dxa"/>
            </w:tcMar>
            <w:vAlign w:val="center"/>
          </w:tcPr>
          <w:p>
            <w:pPr>
              <w:jc w:val="center"/>
            </w:pPr>
            <w:r>
              <w:rPr>
                <w:sz w:val="17"/>
              </w:rPr>
              <w:t>PASS</w:t>
            </w:r>
          </w:p>
        </w:tc>
      </w:tr>
      <w:tr>
        <w:trPr>
          <w:cantSplit/>
        </w:trPr>
        <w:tc>
          <w:tcPr>
            <w:tcW w:type="dxa" w:w="1700"/>
            <w:tcMar>
              <w:top w:w="85" w:type="dxa"/>
              <w:start w:w="120" w:type="dxa"/>
              <w:bottom w:w="85" w:type="dxa"/>
              <w:end w:w="120" w:type="dxa"/>
            </w:tcMar>
            <w:vAlign w:val="center"/>
          </w:tcPr>
          <w:p>
            <w:pPr>
              <w:jc w:val="left"/>
            </w:pPr>
            <w:r>
              <w:rPr>
                <w:sz w:val="17"/>
              </w:rPr>
              <w:t>tandem_lad</w:t>
            </w:r>
          </w:p>
        </w:tc>
        <w:tc>
          <w:tcPr>
            <w:tcW w:type="dxa" w:w="4920"/>
            <w:tcMar>
              <w:top w:w="85" w:type="dxa"/>
              <w:start w:w="120" w:type="dxa"/>
              <w:bottom w:w="85" w:type="dxa"/>
              <w:end w:w="120" w:type="dxa"/>
            </w:tcMar>
            <w:vAlign w:val="center"/>
          </w:tcPr>
          <w:p>
            <w:pPr>
              <w:jc w:val="left"/>
            </w:pPr>
            <w:r>
              <w:rPr>
                <w:sz w:val="17"/>
              </w:rPr>
              <w:t>LAD: 51.6% radius, 76.6% area; minimum lumen diameter 0.974 mm</w:t>
            </w:r>
          </w:p>
        </w:tc>
        <w:tc>
          <w:tcPr>
            <w:tcW w:type="dxa" w:w="1550"/>
            <w:tcMar>
              <w:top w:w="85" w:type="dxa"/>
              <w:start w:w="120" w:type="dxa"/>
              <w:bottom w:w="85" w:type="dxa"/>
              <w:end w:w="120" w:type="dxa"/>
            </w:tcMar>
            <w:vAlign w:val="center"/>
          </w:tcPr>
          <w:p>
            <w:pPr>
              <w:jc w:val="center"/>
            </w:pPr>
            <w:r>
              <w:rPr>
                <w:sz w:val="17"/>
              </w:rPr>
              <w:t>7.810 mm</w:t>
            </w:r>
          </w:p>
        </w:tc>
        <w:tc>
          <w:tcPr>
            <w:tcW w:type="dxa" w:w="1190"/>
            <w:tcMar>
              <w:top w:w="85" w:type="dxa"/>
              <w:start w:w="120" w:type="dxa"/>
              <w:bottom w:w="85" w:type="dxa"/>
              <w:end w:w="120" w:type="dxa"/>
            </w:tcMar>
            <w:vAlign w:val="center"/>
          </w:tcPr>
          <w:p>
            <w:pPr>
              <w:jc w:val="center"/>
            </w:pPr>
            <w:r>
              <w:rPr>
                <w:sz w:val="17"/>
              </w:rPr>
              <w:t>PASS</w:t>
            </w:r>
          </w:p>
        </w:tc>
      </w:tr>
    </w:tbl>
    <w:p>
      <w:pPr>
        <w:spacing w:after="0"/>
      </w:pPr>
    </w:p>
    <w:p>
      <w:pPr>
        <w:pStyle w:val="Heading2"/>
        <w:pageBreakBefore w:val="0"/>
      </w:pPr>
      <w:r>
        <w:t>10.1 Shared representative anatomy</w:t>
      </w:r>
    </w:p>
    <w:tbl>
      <w:tblPr>
        <w:tblStyle w:val="TableGrid"/>
        <w:tblW w:type="dxa" w:w="9360"/>
        <w:tblLayout w:type="fixed"/>
        <w:tblLook w:firstColumn="1" w:firstRow="1" w:lastColumn="0" w:lastRow="0" w:noHBand="0" w:noVBand="1" w:val="04A0"/>
        <w:jc w:val="left"/>
        <w:tblInd w:w="0" w:type="dxa"/>
      </w:tblPr>
      <w:tblGrid>
        <w:gridCol w:w="1200"/>
        <w:gridCol w:w="1800"/>
        <w:gridCol w:w="1700"/>
        <w:gridCol w:w="2300"/>
        <w:gridCol w:w="2360"/>
      </w:tblGrid>
      <w:tr>
        <w:trPr>
          <w:cantSplit/>
          <w:tblHeader w:val="true"/>
          <w:cantSplit/>
        </w:trPr>
        <w:tc>
          <w:tcPr>
            <w:tcW w:type="dxa" w:w="1200"/>
            <w:tcMar>
              <w:top w:w="85" w:type="dxa"/>
              <w:start w:w="120" w:type="dxa"/>
              <w:bottom w:w="85" w:type="dxa"/>
              <w:end w:w="120" w:type="dxa"/>
            </w:tcMar>
            <w:vAlign w:val="center"/>
            <w:shd w:fill="EAF2FB"/>
          </w:tcPr>
          <w:p>
            <w:pPr>
              <w:jc w:val="center"/>
            </w:pPr>
            <w:r>
              <w:rPr>
                <w:b/>
                <w:sz w:val="17"/>
              </w:rPr>
              <w:t>Branch</w:t>
            </w:r>
          </w:p>
        </w:tc>
        <w:tc>
          <w:tcPr>
            <w:tcW w:type="dxa" w:w="1800"/>
            <w:tcMar>
              <w:top w:w="85" w:type="dxa"/>
              <w:start w:w="120" w:type="dxa"/>
              <w:bottom w:w="85" w:type="dxa"/>
              <w:end w:w="120" w:type="dxa"/>
            </w:tcMar>
            <w:vAlign w:val="center"/>
            <w:shd w:fill="EAF2FB"/>
          </w:tcPr>
          <w:p>
            <w:pPr>
              <w:jc w:val="center"/>
            </w:pPr>
            <w:r>
              <w:rPr>
                <w:b/>
                <w:sz w:val="17"/>
              </w:rPr>
              <w:t>Length</w:t>
            </w:r>
          </w:p>
        </w:tc>
        <w:tc>
          <w:tcPr>
            <w:tcW w:type="dxa" w:w="1700"/>
            <w:tcMar>
              <w:top w:w="85" w:type="dxa"/>
              <w:start w:w="120" w:type="dxa"/>
              <w:bottom w:w="85" w:type="dxa"/>
              <w:end w:w="120" w:type="dxa"/>
            </w:tcMar>
            <w:vAlign w:val="center"/>
            <w:shd w:fill="EAF2FB"/>
          </w:tcPr>
          <w:p>
            <w:pPr>
              <w:jc w:val="center"/>
            </w:pPr>
            <w:r>
              <w:rPr>
                <w:b/>
                <w:sz w:val="17"/>
              </w:rPr>
              <w:t>Arc/chord</w:t>
            </w:r>
          </w:p>
        </w:tc>
        <w:tc>
          <w:tcPr>
            <w:tcW w:type="dxa" w:w="2300"/>
            <w:tcMar>
              <w:top w:w="85" w:type="dxa"/>
              <w:start w:w="120" w:type="dxa"/>
              <w:bottom w:w="85" w:type="dxa"/>
              <w:end w:w="120" w:type="dxa"/>
            </w:tcMar>
            <w:vAlign w:val="center"/>
            <w:shd w:fill="EAF2FB"/>
          </w:tcPr>
          <w:p>
            <w:pPr>
              <w:jc w:val="center"/>
            </w:pPr>
            <w:r>
              <w:rPr>
                <w:b/>
                <w:sz w:val="17"/>
              </w:rPr>
              <w:t>Proximal diameter</w:t>
            </w:r>
          </w:p>
        </w:tc>
        <w:tc>
          <w:tcPr>
            <w:tcW w:type="dxa" w:w="2360"/>
            <w:tcMar>
              <w:top w:w="85" w:type="dxa"/>
              <w:start w:w="120" w:type="dxa"/>
              <w:bottom w:w="85" w:type="dxa"/>
              <w:end w:w="120" w:type="dxa"/>
            </w:tcMar>
            <w:vAlign w:val="center"/>
            <w:shd w:fill="EAF2FB"/>
          </w:tcPr>
          <w:p>
            <w:pPr>
              <w:jc w:val="center"/>
            </w:pPr>
            <w:r>
              <w:rPr>
                <w:b/>
                <w:sz w:val="17"/>
              </w:rPr>
              <w:t>Inferior displacement</w:t>
            </w:r>
          </w:p>
        </w:tc>
      </w:tr>
      <w:tr>
        <w:trPr>
          <w:cantSplit/>
        </w:trPr>
        <w:tc>
          <w:tcPr>
            <w:tcW w:type="dxa" w:w="1200"/>
            <w:tcMar>
              <w:top w:w="85" w:type="dxa"/>
              <w:start w:w="120" w:type="dxa"/>
              <w:bottom w:w="85" w:type="dxa"/>
              <w:end w:w="120" w:type="dxa"/>
            </w:tcMar>
            <w:vAlign w:val="center"/>
          </w:tcPr>
          <w:p>
            <w:pPr>
              <w:jc w:val="left"/>
            </w:pPr>
            <w:r>
              <w:rPr>
                <w:sz w:val="17"/>
              </w:rPr>
              <w:t>LMCA</w:t>
            </w:r>
          </w:p>
        </w:tc>
        <w:tc>
          <w:tcPr>
            <w:tcW w:type="dxa" w:w="1800"/>
            <w:tcMar>
              <w:top w:w="85" w:type="dxa"/>
              <w:start w:w="120" w:type="dxa"/>
              <w:bottom w:w="85" w:type="dxa"/>
              <w:end w:w="120" w:type="dxa"/>
            </w:tcMar>
            <w:vAlign w:val="center"/>
          </w:tcPr>
          <w:p>
            <w:pPr>
              <w:jc w:val="center"/>
            </w:pPr>
            <w:r>
              <w:rPr>
                <w:sz w:val="17"/>
              </w:rPr>
              <w:t>6.672 mm</w:t>
            </w:r>
          </w:p>
        </w:tc>
        <w:tc>
          <w:tcPr>
            <w:tcW w:type="dxa" w:w="1700"/>
            <w:tcMar>
              <w:top w:w="85" w:type="dxa"/>
              <w:start w:w="120" w:type="dxa"/>
              <w:bottom w:w="85" w:type="dxa"/>
              <w:end w:w="120" w:type="dxa"/>
            </w:tcMar>
            <w:vAlign w:val="center"/>
          </w:tcPr>
          <w:p>
            <w:pPr>
              <w:jc w:val="center"/>
            </w:pPr>
            <w:r>
              <w:rPr>
                <w:sz w:val="17"/>
              </w:rPr>
              <w:t>1.034</w:t>
            </w:r>
          </w:p>
        </w:tc>
        <w:tc>
          <w:tcPr>
            <w:tcW w:type="dxa" w:w="2300"/>
            <w:tcMar>
              <w:top w:w="85" w:type="dxa"/>
              <w:start w:w="120" w:type="dxa"/>
              <w:bottom w:w="85" w:type="dxa"/>
              <w:end w:w="120" w:type="dxa"/>
            </w:tcMar>
            <w:vAlign w:val="center"/>
          </w:tcPr>
          <w:p>
            <w:pPr>
              <w:jc w:val="center"/>
            </w:pPr>
            <w:r>
              <w:rPr>
                <w:sz w:val="17"/>
              </w:rPr>
              <w:t>4.000 mm</w:t>
            </w:r>
          </w:p>
        </w:tc>
        <w:tc>
          <w:tcPr>
            <w:tcW w:type="dxa" w:w="2360"/>
            <w:tcMar>
              <w:top w:w="85" w:type="dxa"/>
              <w:start w:w="120" w:type="dxa"/>
              <w:bottom w:w="85" w:type="dxa"/>
              <w:end w:w="120" w:type="dxa"/>
            </w:tcMar>
            <w:vAlign w:val="center"/>
          </w:tcPr>
          <w:p>
            <w:pPr>
              <w:jc w:val="center"/>
            </w:pPr>
            <w:r>
              <w:rPr>
                <w:sz w:val="17"/>
              </w:rPr>
              <w:t>3.960 mm</w:t>
            </w:r>
          </w:p>
        </w:tc>
      </w:tr>
      <w:tr>
        <w:trPr>
          <w:cantSplit/>
        </w:trPr>
        <w:tc>
          <w:tcPr>
            <w:tcW w:type="dxa" w:w="1200"/>
            <w:tcMar>
              <w:top w:w="85" w:type="dxa"/>
              <w:start w:w="120" w:type="dxa"/>
              <w:bottom w:w="85" w:type="dxa"/>
              <w:end w:w="120" w:type="dxa"/>
            </w:tcMar>
            <w:vAlign w:val="center"/>
          </w:tcPr>
          <w:p>
            <w:pPr>
              <w:jc w:val="left"/>
            </w:pPr>
            <w:r>
              <w:rPr>
                <w:sz w:val="17"/>
              </w:rPr>
              <w:t>LAD</w:t>
            </w:r>
          </w:p>
        </w:tc>
        <w:tc>
          <w:tcPr>
            <w:tcW w:type="dxa" w:w="1800"/>
            <w:tcMar>
              <w:top w:w="85" w:type="dxa"/>
              <w:start w:w="120" w:type="dxa"/>
              <w:bottom w:w="85" w:type="dxa"/>
              <w:end w:w="120" w:type="dxa"/>
            </w:tcMar>
            <w:vAlign w:val="center"/>
          </w:tcPr>
          <w:p>
            <w:pPr>
              <w:jc w:val="center"/>
            </w:pPr>
            <w:r>
              <w:rPr>
                <w:sz w:val="17"/>
              </w:rPr>
              <w:t>121.064 mm</w:t>
            </w:r>
          </w:p>
        </w:tc>
        <w:tc>
          <w:tcPr>
            <w:tcW w:type="dxa" w:w="1700"/>
            <w:tcMar>
              <w:top w:w="85" w:type="dxa"/>
              <w:start w:w="120" w:type="dxa"/>
              <w:bottom w:w="85" w:type="dxa"/>
              <w:end w:w="120" w:type="dxa"/>
            </w:tcMar>
            <w:vAlign w:val="center"/>
          </w:tcPr>
          <w:p>
            <w:pPr>
              <w:jc w:val="center"/>
            </w:pPr>
            <w:r>
              <w:rPr>
                <w:sz w:val="17"/>
              </w:rPr>
              <w:t>1.274</w:t>
            </w:r>
          </w:p>
        </w:tc>
        <w:tc>
          <w:tcPr>
            <w:tcW w:type="dxa" w:w="2300"/>
            <w:tcMar>
              <w:top w:w="85" w:type="dxa"/>
              <w:start w:w="120" w:type="dxa"/>
              <w:bottom w:w="85" w:type="dxa"/>
              <w:end w:w="120" w:type="dxa"/>
            </w:tcMar>
            <w:vAlign w:val="center"/>
          </w:tcPr>
          <w:p>
            <w:pPr>
              <w:jc w:val="center"/>
            </w:pPr>
            <w:r>
              <w:rPr>
                <w:sz w:val="17"/>
              </w:rPr>
              <w:t>2.600 mm</w:t>
            </w:r>
          </w:p>
        </w:tc>
        <w:tc>
          <w:tcPr>
            <w:tcW w:type="dxa" w:w="2360"/>
            <w:tcMar>
              <w:top w:w="85" w:type="dxa"/>
              <w:start w:w="120" w:type="dxa"/>
              <w:bottom w:w="85" w:type="dxa"/>
              <w:end w:w="120" w:type="dxa"/>
            </w:tcMar>
            <w:vAlign w:val="center"/>
          </w:tcPr>
          <w:p>
            <w:pPr>
              <w:jc w:val="center"/>
            </w:pPr>
            <w:r>
              <w:rPr>
                <w:sz w:val="17"/>
              </w:rPr>
              <w:t>57.701 mm</w:t>
            </w:r>
          </w:p>
        </w:tc>
      </w:tr>
      <w:tr>
        <w:trPr>
          <w:cantSplit/>
        </w:trPr>
        <w:tc>
          <w:tcPr>
            <w:tcW w:type="dxa" w:w="1200"/>
            <w:tcMar>
              <w:top w:w="85" w:type="dxa"/>
              <w:start w:w="120" w:type="dxa"/>
              <w:bottom w:w="85" w:type="dxa"/>
              <w:end w:w="120" w:type="dxa"/>
            </w:tcMar>
            <w:vAlign w:val="center"/>
          </w:tcPr>
          <w:p>
            <w:pPr>
              <w:jc w:val="left"/>
            </w:pPr>
            <w:r>
              <w:rPr>
                <w:sz w:val="17"/>
              </w:rPr>
              <w:t>LCX</w:t>
            </w:r>
          </w:p>
        </w:tc>
        <w:tc>
          <w:tcPr>
            <w:tcW w:type="dxa" w:w="1800"/>
            <w:tcMar>
              <w:top w:w="85" w:type="dxa"/>
              <w:start w:w="120" w:type="dxa"/>
              <w:bottom w:w="85" w:type="dxa"/>
              <w:end w:w="120" w:type="dxa"/>
            </w:tcMar>
            <w:vAlign w:val="center"/>
          </w:tcPr>
          <w:p>
            <w:pPr>
              <w:jc w:val="center"/>
            </w:pPr>
            <w:r>
              <w:rPr>
                <w:sz w:val="17"/>
              </w:rPr>
              <w:t>81.639 mm</w:t>
            </w:r>
          </w:p>
        </w:tc>
        <w:tc>
          <w:tcPr>
            <w:tcW w:type="dxa" w:w="1700"/>
            <w:tcMar>
              <w:top w:w="85" w:type="dxa"/>
              <w:start w:w="120" w:type="dxa"/>
              <w:bottom w:w="85" w:type="dxa"/>
              <w:end w:w="120" w:type="dxa"/>
            </w:tcMar>
            <w:vAlign w:val="center"/>
          </w:tcPr>
          <w:p>
            <w:pPr>
              <w:jc w:val="center"/>
            </w:pPr>
            <w:r>
              <w:rPr>
                <w:sz w:val="17"/>
              </w:rPr>
              <w:t>1.229</w:t>
            </w:r>
          </w:p>
        </w:tc>
        <w:tc>
          <w:tcPr>
            <w:tcW w:type="dxa" w:w="2300"/>
            <w:tcMar>
              <w:top w:w="85" w:type="dxa"/>
              <w:start w:w="120" w:type="dxa"/>
              <w:bottom w:w="85" w:type="dxa"/>
              <w:end w:w="120" w:type="dxa"/>
            </w:tcMar>
            <w:vAlign w:val="center"/>
          </w:tcPr>
          <w:p>
            <w:pPr>
              <w:jc w:val="center"/>
            </w:pPr>
            <w:r>
              <w:rPr>
                <w:sz w:val="17"/>
              </w:rPr>
              <w:t>2.400 mm</w:t>
            </w:r>
          </w:p>
        </w:tc>
        <w:tc>
          <w:tcPr>
            <w:tcW w:type="dxa" w:w="2360"/>
            <w:tcMar>
              <w:top w:w="85" w:type="dxa"/>
              <w:start w:w="120" w:type="dxa"/>
              <w:bottom w:w="85" w:type="dxa"/>
              <w:end w:w="120" w:type="dxa"/>
            </w:tcMar>
            <w:vAlign w:val="center"/>
          </w:tcPr>
          <w:p>
            <w:pPr>
              <w:jc w:val="center"/>
            </w:pPr>
            <w:r>
              <w:rPr>
                <w:sz w:val="17"/>
              </w:rPr>
              <w:t>14.106 mm</w:t>
            </w:r>
          </w:p>
        </w:tc>
      </w:tr>
    </w:tbl>
    <w:p>
      <w:pPr>
        <w:spacing w:after="0"/>
      </w:pPr>
    </w:p>
    <w:p>
      <w:r>
        <w:t>The LAD-LCX angle is 97.864 degrees and the acute LAD/LCX plane-normal angle is 47.838 degrees. Maximum displacement is 7.810 mm, mean displacement at the sampled peak is 6.062 mm, the cycle-closing error is 0.0e+00 mm, and healthy maximum pulsatility is 2.980%.</w:t>
      </w:r>
    </w:p>
    <w:p>
      <w:pPr>
        <w:keepNext/>
        <w:jc w:val="center"/>
      </w:pPr>
      <w:r>
        <w:drawing>
          <wp:inline xmlns:a="http://schemas.openxmlformats.org/drawingml/2006/main" xmlns:pic="http://schemas.openxmlformats.org/drawingml/2006/picture">
            <wp:extent cx="5806440" cy="4264250"/>
            <wp:docPr id="11" name="Picture 11" title="Figure 7. Healthy representative anatomy, topology, radii, motion, pulsatility, and tortuosity dashboard." descr="Figure 7. Healthy representative anatomy, topology, radii, motion, pulsatility, and tortuosity dashboard."/>
            <wp:cNvGraphicFramePr>
              <a:graphicFrameLocks noChangeAspect="1"/>
            </wp:cNvGraphicFramePr>
            <a:graphic>
              <a:graphicData uri="http://schemas.openxmlformats.org/drawingml/2006/picture">
                <pic:pic>
                  <pic:nvPicPr>
                    <pic:cNvPr id="0" name="validation_dashboard.png"/>
                    <pic:cNvPicPr/>
                  </pic:nvPicPr>
                  <pic:blipFill>
                    <a:blip r:embed="rId21"/>
                    <a:stretch>
                      <a:fillRect/>
                    </a:stretch>
                  </pic:blipFill>
                  <pic:spPr>
                    <a:xfrm>
                      <a:off x="0" y="0"/>
                      <a:ext cx="5806440" cy="4264250"/>
                    </a:xfrm>
                    <a:prstGeom prst="rect"/>
                  </pic:spPr>
                </pic:pic>
              </a:graphicData>
            </a:graphic>
          </wp:inline>
        </w:drawing>
      </w:r>
    </w:p>
    <w:p>
      <w:pPr>
        <w:pStyle w:val="Caption"/>
        <w:keepNext w:val="0"/>
        <w:jc w:val="center"/>
      </w:pPr>
      <w:r>
        <w:rPr>
          <w:i/>
        </w:rPr>
        <w:t>Figure 7. Healthy representative anatomy, topology, radii, motion, pulsatility, and tortuosity dashboard.</w:t>
      </w:r>
    </w:p>
    <w:p>
      <w:pPr>
        <w:keepNext/>
        <w:jc w:val="center"/>
      </w:pPr>
      <w:r>
        <w:drawing>
          <wp:inline xmlns:a="http://schemas.openxmlformats.org/drawingml/2006/main" xmlns:pic="http://schemas.openxmlformats.org/drawingml/2006/picture">
            <wp:extent cx="5806440" cy="4264250"/>
            <wp:docPr id="12" name="Picture 12" title="Figure 8. Focal LAD validation dashboard showing localized radius loss with unchanged centerline geometry." descr="Figure 8. Focal LAD validation dashboard showing localized radius loss with unchanged centerline geometry."/>
            <wp:cNvGraphicFramePr>
              <a:graphicFrameLocks noChangeAspect="1"/>
            </wp:cNvGraphicFramePr>
            <a:graphic>
              <a:graphicData uri="http://schemas.openxmlformats.org/drawingml/2006/picture">
                <pic:pic>
                  <pic:nvPicPr>
                    <pic:cNvPr id="0" name="validation_dashboard.png"/>
                    <pic:cNvPicPr/>
                  </pic:nvPicPr>
                  <pic:blipFill>
                    <a:blip r:embed="rId22"/>
                    <a:stretch>
                      <a:fillRect/>
                    </a:stretch>
                  </pic:blipFill>
                  <pic:spPr>
                    <a:xfrm>
                      <a:off x="0" y="0"/>
                      <a:ext cx="5806440" cy="4264250"/>
                    </a:xfrm>
                    <a:prstGeom prst="rect"/>
                  </pic:spPr>
                </pic:pic>
              </a:graphicData>
            </a:graphic>
          </wp:inline>
        </w:drawing>
      </w:r>
    </w:p>
    <w:p>
      <w:pPr>
        <w:pStyle w:val="Caption"/>
        <w:keepNext w:val="0"/>
        <w:jc w:val="center"/>
      </w:pPr>
      <w:r>
        <w:rPr>
          <w:i/>
        </w:rPr>
        <w:t>Figure 8. Focal LAD validation dashboard showing localized radius loss with unchanged centerline geometry.</w:t>
      </w:r>
    </w:p>
    <w:p>
      <w:pPr>
        <w:pStyle w:val="Heading2"/>
        <w:pageBreakBefore/>
      </w:pPr>
      <w:r>
        <w:t>10.2 Local and global pulsatility</w:t>
      </w:r>
    </w:p>
    <w:tbl>
      <w:tblPr>
        <w:tblStyle w:val="TableGrid"/>
        <w:tblW w:type="dxa" w:w="9360"/>
        <w:tblLayout w:type="fixed"/>
        <w:tblLook w:firstColumn="1" w:firstRow="1" w:lastColumn="0" w:lastRow="0" w:noHBand="0" w:noVBand="1" w:val="04A0"/>
        <w:jc w:val="left"/>
        <w:tblInd w:w="0" w:type="dxa"/>
      </w:tblPr>
      <w:tblGrid>
        <w:gridCol w:w="1800"/>
        <w:gridCol w:w="1900"/>
        <w:gridCol w:w="3800"/>
        <w:gridCol w:w="1860"/>
      </w:tblGrid>
      <w:tr>
        <w:trPr>
          <w:cantSplit/>
          <w:tblHeader w:val="true"/>
          <w:cantSplit/>
        </w:trPr>
        <w:tc>
          <w:tcPr>
            <w:tcW w:type="dxa" w:w="1800"/>
            <w:tcMar>
              <w:top w:w="85" w:type="dxa"/>
              <w:start w:w="120" w:type="dxa"/>
              <w:bottom w:w="85" w:type="dxa"/>
              <w:end w:w="120" w:type="dxa"/>
            </w:tcMar>
            <w:vAlign w:val="center"/>
            <w:shd w:fill="EAF2FB"/>
          </w:tcPr>
          <w:p>
            <w:pPr>
              <w:jc w:val="center"/>
            </w:pPr>
            <w:r>
              <w:rPr>
                <w:b/>
                <w:sz w:val="17"/>
              </w:rPr>
              <w:t>Case</w:t>
            </w:r>
          </w:p>
        </w:tc>
        <w:tc>
          <w:tcPr>
            <w:tcW w:type="dxa" w:w="1900"/>
            <w:tcMar>
              <w:top w:w="85" w:type="dxa"/>
              <w:start w:w="120" w:type="dxa"/>
              <w:bottom w:w="85" w:type="dxa"/>
              <w:end w:w="120" w:type="dxa"/>
            </w:tcMar>
            <w:vAlign w:val="center"/>
            <w:shd w:fill="EAF2FB"/>
          </w:tcPr>
          <w:p>
            <w:pPr>
              <w:jc w:val="center"/>
            </w:pPr>
            <w:r>
              <w:rPr>
                <w:b/>
                <w:sz w:val="17"/>
              </w:rPr>
              <w:t>Global maximum</w:t>
            </w:r>
          </w:p>
        </w:tc>
        <w:tc>
          <w:tcPr>
            <w:tcW w:type="dxa" w:w="3800"/>
            <w:tcMar>
              <w:top w:w="85" w:type="dxa"/>
              <w:start w:w="120" w:type="dxa"/>
              <w:bottom w:w="85" w:type="dxa"/>
              <w:end w:w="120" w:type="dxa"/>
            </w:tcMar>
            <w:vAlign w:val="center"/>
            <w:shd w:fill="EAF2FB"/>
          </w:tcPr>
          <w:p>
            <w:pPr>
              <w:jc w:val="center"/>
            </w:pPr>
            <w:r>
              <w:rPr>
                <w:b/>
                <w:sz w:val="17"/>
              </w:rPr>
              <w:t>Maximum-lesion response</w:t>
            </w:r>
          </w:p>
        </w:tc>
        <w:tc>
          <w:tcPr>
            <w:tcW w:type="dxa" w:w="1860"/>
            <w:tcMar>
              <w:top w:w="85" w:type="dxa"/>
              <w:start w:w="120" w:type="dxa"/>
              <w:bottom w:w="85" w:type="dxa"/>
              <w:end w:w="120" w:type="dxa"/>
            </w:tcMar>
            <w:vAlign w:val="center"/>
            <w:shd w:fill="EAF2FB"/>
          </w:tcPr>
          <w:p>
            <w:pPr>
              <w:jc w:val="center"/>
            </w:pPr>
            <w:r>
              <w:rPr>
                <w:b/>
                <w:sz w:val="17"/>
              </w:rPr>
              <w:t>Peak sign</w:t>
            </w:r>
          </w:p>
        </w:tc>
      </w:tr>
      <w:tr>
        <w:trPr>
          <w:cantSplit/>
        </w:trPr>
        <w:tc>
          <w:tcPr>
            <w:tcW w:type="dxa" w:w="1800"/>
            <w:tcMar>
              <w:top w:w="85" w:type="dxa"/>
              <w:start w:w="120" w:type="dxa"/>
              <w:bottom w:w="85" w:type="dxa"/>
              <w:end w:w="120" w:type="dxa"/>
            </w:tcMar>
            <w:vAlign w:val="center"/>
          </w:tcPr>
          <w:p>
            <w:pPr>
              <w:jc w:val="left"/>
            </w:pPr>
            <w:r>
              <w:rPr>
                <w:sz w:val="17"/>
              </w:rPr>
              <w:t>healthy</w:t>
            </w:r>
          </w:p>
        </w:tc>
        <w:tc>
          <w:tcPr>
            <w:tcW w:type="dxa" w:w="1900"/>
            <w:tcMar>
              <w:top w:w="85" w:type="dxa"/>
              <w:start w:w="120" w:type="dxa"/>
              <w:bottom w:w="85" w:type="dxa"/>
              <w:end w:w="120" w:type="dxa"/>
            </w:tcMar>
            <w:vAlign w:val="center"/>
          </w:tcPr>
          <w:p>
            <w:pPr>
              <w:jc w:val="center"/>
            </w:pPr>
            <w:r>
              <w:rPr>
                <w:sz w:val="17"/>
              </w:rPr>
              <w:t>2.980%</w:t>
            </w:r>
          </w:p>
        </w:tc>
        <w:tc>
          <w:tcPr>
            <w:tcW w:type="dxa" w:w="3800"/>
            <w:tcMar>
              <w:top w:w="85" w:type="dxa"/>
              <w:start w:w="120" w:type="dxa"/>
              <w:bottom w:w="85" w:type="dxa"/>
              <w:end w:w="120" w:type="dxa"/>
            </w:tcMar>
            <w:vAlign w:val="center"/>
          </w:tcPr>
          <w:p>
            <w:pPr>
              <w:jc w:val="center"/>
            </w:pPr>
            <w:r>
              <w:rPr>
                <w:sz w:val="17"/>
              </w:rPr>
              <w:t>N/A</w:t>
            </w:r>
          </w:p>
        </w:tc>
        <w:tc>
          <w:tcPr>
            <w:tcW w:type="dxa" w:w="1860"/>
            <w:tcMar>
              <w:top w:w="85" w:type="dxa"/>
              <w:start w:w="120" w:type="dxa"/>
              <w:bottom w:w="85" w:type="dxa"/>
              <w:end w:w="120" w:type="dxa"/>
            </w:tcMar>
            <w:vAlign w:val="center"/>
          </w:tcPr>
          <w:p>
            <w:pPr>
              <w:jc w:val="center"/>
            </w:pPr>
            <w:r>
              <w:rPr>
                <w:sz w:val="17"/>
              </w:rPr>
              <w:t>expansion</w:t>
            </w:r>
          </w:p>
        </w:tc>
      </w:tr>
      <w:tr>
        <w:trPr>
          <w:cantSplit/>
        </w:trPr>
        <w:tc>
          <w:tcPr>
            <w:tcW w:type="dxa" w:w="1800"/>
            <w:tcMar>
              <w:top w:w="85" w:type="dxa"/>
              <w:start w:w="120" w:type="dxa"/>
              <w:bottom w:w="85" w:type="dxa"/>
              <w:end w:w="120" w:type="dxa"/>
            </w:tcMar>
            <w:vAlign w:val="center"/>
          </w:tcPr>
          <w:p>
            <w:pPr>
              <w:jc w:val="left"/>
            </w:pPr>
            <w:r>
              <w:rPr>
                <w:sz w:val="17"/>
              </w:rPr>
              <w:t>focal_lad</w:t>
            </w:r>
          </w:p>
        </w:tc>
        <w:tc>
          <w:tcPr>
            <w:tcW w:type="dxa" w:w="1900"/>
            <w:tcMar>
              <w:top w:w="85" w:type="dxa"/>
              <w:start w:w="120" w:type="dxa"/>
              <w:bottom w:w="85" w:type="dxa"/>
              <w:end w:w="120" w:type="dxa"/>
            </w:tcMar>
            <w:vAlign w:val="center"/>
          </w:tcPr>
          <w:p>
            <w:pPr>
              <w:jc w:val="center"/>
            </w:pPr>
            <w:r>
              <w:rPr>
                <w:sz w:val="17"/>
              </w:rPr>
              <w:t>2.980%</w:t>
            </w:r>
          </w:p>
        </w:tc>
        <w:tc>
          <w:tcPr>
            <w:tcW w:type="dxa" w:w="3800"/>
            <w:tcMar>
              <w:top w:w="85" w:type="dxa"/>
              <w:start w:w="120" w:type="dxa"/>
              <w:bottom w:w="85" w:type="dxa"/>
              <w:end w:w="120" w:type="dxa"/>
            </w:tcMar>
            <w:vAlign w:val="center"/>
          </w:tcPr>
          <w:p>
            <w:pPr>
              <w:jc w:val="center"/>
            </w:pPr>
            <w:r>
              <w:rPr>
                <w:sz w:val="17"/>
              </w:rPr>
              <w:t>LAD: 1.044% (0.350x healthy)</w:t>
            </w:r>
          </w:p>
        </w:tc>
        <w:tc>
          <w:tcPr>
            <w:tcW w:type="dxa" w:w="1860"/>
            <w:tcMar>
              <w:top w:w="85" w:type="dxa"/>
              <w:start w:w="120" w:type="dxa"/>
              <w:bottom w:w="85" w:type="dxa"/>
              <w:end w:w="120" w:type="dxa"/>
            </w:tcMar>
            <w:vAlign w:val="center"/>
          </w:tcPr>
          <w:p>
            <w:pPr>
              <w:jc w:val="center"/>
            </w:pPr>
            <w:r>
              <w:rPr>
                <w:sz w:val="17"/>
              </w:rPr>
              <w:t>expansion</w:t>
            </w:r>
          </w:p>
        </w:tc>
      </w:tr>
      <w:tr>
        <w:trPr>
          <w:cantSplit/>
        </w:trPr>
        <w:tc>
          <w:tcPr>
            <w:tcW w:type="dxa" w:w="1800"/>
            <w:tcMar>
              <w:top w:w="85" w:type="dxa"/>
              <w:start w:w="120" w:type="dxa"/>
              <w:bottom w:w="85" w:type="dxa"/>
              <w:end w:w="120" w:type="dxa"/>
            </w:tcMar>
            <w:vAlign w:val="center"/>
          </w:tcPr>
          <w:p>
            <w:pPr>
              <w:jc w:val="left"/>
            </w:pPr>
            <w:r>
              <w:rPr>
                <w:sz w:val="17"/>
              </w:rPr>
              <w:t>diffuse_lcx</w:t>
            </w:r>
          </w:p>
        </w:tc>
        <w:tc>
          <w:tcPr>
            <w:tcW w:type="dxa" w:w="1900"/>
            <w:tcMar>
              <w:top w:w="85" w:type="dxa"/>
              <w:start w:w="120" w:type="dxa"/>
              <w:bottom w:w="85" w:type="dxa"/>
              <w:end w:w="120" w:type="dxa"/>
            </w:tcMar>
            <w:vAlign w:val="center"/>
          </w:tcPr>
          <w:p>
            <w:pPr>
              <w:jc w:val="center"/>
            </w:pPr>
            <w:r>
              <w:rPr>
                <w:sz w:val="17"/>
              </w:rPr>
              <w:t>2.980%</w:t>
            </w:r>
          </w:p>
        </w:tc>
        <w:tc>
          <w:tcPr>
            <w:tcW w:type="dxa" w:w="3800"/>
            <w:tcMar>
              <w:top w:w="85" w:type="dxa"/>
              <w:start w:w="120" w:type="dxa"/>
              <w:bottom w:w="85" w:type="dxa"/>
              <w:end w:w="120" w:type="dxa"/>
            </w:tcMar>
            <w:vAlign w:val="center"/>
          </w:tcPr>
          <w:p>
            <w:pPr>
              <w:jc w:val="center"/>
            </w:pPr>
            <w:r>
              <w:rPr>
                <w:sz w:val="17"/>
              </w:rPr>
              <w:t>LCX: 1.043% (0.350x healthy)</w:t>
            </w:r>
          </w:p>
        </w:tc>
        <w:tc>
          <w:tcPr>
            <w:tcW w:type="dxa" w:w="1860"/>
            <w:tcMar>
              <w:top w:w="85" w:type="dxa"/>
              <w:start w:w="120" w:type="dxa"/>
              <w:bottom w:w="85" w:type="dxa"/>
              <w:end w:w="120" w:type="dxa"/>
            </w:tcMar>
            <w:vAlign w:val="center"/>
          </w:tcPr>
          <w:p>
            <w:pPr>
              <w:jc w:val="center"/>
            </w:pPr>
            <w:r>
              <w:rPr>
                <w:sz w:val="17"/>
              </w:rPr>
              <w:t>expansion</w:t>
            </w:r>
          </w:p>
        </w:tc>
      </w:tr>
      <w:tr>
        <w:trPr>
          <w:cantSplit/>
        </w:trPr>
        <w:tc>
          <w:tcPr>
            <w:tcW w:type="dxa" w:w="1800"/>
            <w:tcMar>
              <w:top w:w="85" w:type="dxa"/>
              <w:start w:w="120" w:type="dxa"/>
              <w:bottom w:w="85" w:type="dxa"/>
              <w:end w:w="120" w:type="dxa"/>
            </w:tcMar>
            <w:vAlign w:val="center"/>
          </w:tcPr>
          <w:p>
            <w:pPr>
              <w:jc w:val="left"/>
            </w:pPr>
            <w:r>
              <w:rPr>
                <w:sz w:val="17"/>
              </w:rPr>
              <w:t>tandem_lad</w:t>
            </w:r>
          </w:p>
        </w:tc>
        <w:tc>
          <w:tcPr>
            <w:tcW w:type="dxa" w:w="1900"/>
            <w:tcMar>
              <w:top w:w="85" w:type="dxa"/>
              <w:start w:w="120" w:type="dxa"/>
              <w:bottom w:w="85" w:type="dxa"/>
              <w:end w:w="120" w:type="dxa"/>
            </w:tcMar>
            <w:vAlign w:val="center"/>
          </w:tcPr>
          <w:p>
            <w:pPr>
              <w:jc w:val="center"/>
            </w:pPr>
            <w:r>
              <w:rPr>
                <w:sz w:val="17"/>
              </w:rPr>
              <w:t>2.980%</w:t>
            </w:r>
          </w:p>
        </w:tc>
        <w:tc>
          <w:tcPr>
            <w:tcW w:type="dxa" w:w="3800"/>
            <w:tcMar>
              <w:top w:w="85" w:type="dxa"/>
              <w:start w:w="120" w:type="dxa"/>
              <w:bottom w:w="85" w:type="dxa"/>
              <w:end w:w="120" w:type="dxa"/>
            </w:tcMar>
            <w:vAlign w:val="center"/>
          </w:tcPr>
          <w:p>
            <w:pPr>
              <w:jc w:val="center"/>
            </w:pPr>
            <w:r>
              <w:rPr>
                <w:sz w:val="17"/>
              </w:rPr>
              <w:t>LAD: 1.166% (0.391x healthy)</w:t>
            </w:r>
          </w:p>
        </w:tc>
        <w:tc>
          <w:tcPr>
            <w:tcW w:type="dxa" w:w="1860"/>
            <w:tcMar>
              <w:top w:w="85" w:type="dxa"/>
              <w:start w:w="120" w:type="dxa"/>
              <w:bottom w:w="85" w:type="dxa"/>
              <w:end w:w="120" w:type="dxa"/>
            </w:tcMar>
            <w:vAlign w:val="center"/>
          </w:tcPr>
          <w:p>
            <w:pPr>
              <w:jc w:val="center"/>
            </w:pPr>
            <w:r>
              <w:rPr>
                <w:sz w:val="17"/>
              </w:rPr>
              <w:t>expansion</w:t>
            </w:r>
          </w:p>
        </w:tc>
      </w:tr>
    </w:tbl>
    <w:p>
      <w:pPr>
        <w:spacing w:after="0"/>
      </w:pPr>
    </w:p>
    <w:p>
      <w:pPr>
        <w:keepNext/>
        <w:jc w:val="center"/>
      </w:pPr>
      <w:r>
        <w:drawing>
          <wp:inline xmlns:a="http://schemas.openxmlformats.org/drawingml/2006/main" xmlns:pic="http://schemas.openxmlformats.org/drawingml/2006/picture">
            <wp:extent cx="5806440" cy="3870960"/>
            <wp:docPr id="13" name="Picture 13" title="Figure 9. Quantitative focal-LAD motion and pulsatility audit, including reduced lesion response." descr="Figure 9. Quantitative focal-LAD motion and pulsatility audit, including reduced lesion response."/>
            <wp:cNvGraphicFramePr>
              <a:graphicFrameLocks noChangeAspect="1"/>
            </wp:cNvGraphicFramePr>
            <a:graphic>
              <a:graphicData uri="http://schemas.openxmlformats.org/drawingml/2006/picture">
                <pic:pic>
                  <pic:nvPicPr>
                    <pic:cNvPr id="0" name="quantitative_motion_pulsatility.png"/>
                    <pic:cNvPicPr/>
                  </pic:nvPicPr>
                  <pic:blipFill>
                    <a:blip r:embed="rId23"/>
                    <a:stretch>
                      <a:fillRect/>
                    </a:stretch>
                  </pic:blipFill>
                  <pic:spPr>
                    <a:xfrm>
                      <a:off x="0" y="0"/>
                      <a:ext cx="5806440" cy="3870960"/>
                    </a:xfrm>
                    <a:prstGeom prst="rect"/>
                  </pic:spPr>
                </pic:pic>
              </a:graphicData>
            </a:graphic>
          </wp:inline>
        </w:drawing>
      </w:r>
    </w:p>
    <w:p>
      <w:pPr>
        <w:pStyle w:val="Caption"/>
        <w:keepNext w:val="0"/>
        <w:jc w:val="center"/>
      </w:pPr>
      <w:r>
        <w:rPr>
          <w:i/>
        </w:rPr>
        <w:t>Figure 9. Quantitative focal-LAD motion and pulsatility audit, including reduced lesion response.</w:t>
      </w:r>
    </w:p>
    <w:p>
      <w:r>
        <w:br w:type="page"/>
      </w:r>
    </w:p>
    <w:p>
      <w:pPr>
        <w:keepNext/>
        <w:jc w:val="center"/>
      </w:pPr>
      <w:r>
        <w:drawing>
          <wp:inline xmlns:a="http://schemas.openxmlformats.org/drawingml/2006/main" xmlns:pic="http://schemas.openxmlformats.org/drawingml/2006/picture">
            <wp:extent cx="5806440" cy="1735024"/>
            <wp:docPr id="14" name="Picture 14" title="Figure 10. Branch-specific curvature and distance-metric tortuosity for the shared representative anatomy." descr="Figure 10. Branch-specific curvature and distance-metric tortuosity for the shared representative anatomy."/>
            <wp:cNvGraphicFramePr>
              <a:graphicFrameLocks noChangeAspect="1"/>
            </wp:cNvGraphicFramePr>
            <a:graphic>
              <a:graphicData uri="http://schemas.openxmlformats.org/drawingml/2006/picture">
                <pic:pic>
                  <pic:nvPicPr>
                    <pic:cNvPr id="0" name="tortuosity_analysis.png"/>
                    <pic:cNvPicPr/>
                  </pic:nvPicPr>
                  <pic:blipFill>
                    <a:blip r:embed="rId24"/>
                    <a:stretch>
                      <a:fillRect/>
                    </a:stretch>
                  </pic:blipFill>
                  <pic:spPr>
                    <a:xfrm>
                      <a:off x="0" y="0"/>
                      <a:ext cx="5806440" cy="1735024"/>
                    </a:xfrm>
                    <a:prstGeom prst="rect"/>
                  </pic:spPr>
                </pic:pic>
              </a:graphicData>
            </a:graphic>
          </wp:inline>
        </w:drawing>
      </w:r>
    </w:p>
    <w:p>
      <w:pPr>
        <w:pStyle w:val="Caption"/>
        <w:keepNext w:val="0"/>
        <w:jc w:val="center"/>
      </w:pPr>
      <w:r>
        <w:rPr>
          <w:i/>
        </w:rPr>
        <w:t>Figure 10. Branch-specific curvature and distance-metric tortuosity for the shared representative anatomy.</w:t>
      </w:r>
    </w:p>
    <w:p>
      <w:pPr>
        <w:pStyle w:val="Heading1"/>
        <w:pageBreakBefore/>
      </w:pPr>
      <w:r>
        <w:t>11. Installation, CLI, Python API, and reproducibility</w:t>
      </w:r>
    </w:p>
    <w:p>
      <w:pPr>
        <w:pStyle w:val="Heading2"/>
        <w:pageBreakBefore w:val="0"/>
      </w:pPr>
      <w:r>
        <w:t>11.1 Environment</w:t>
      </w:r>
    </w:p>
    <w:p>
      <w:pPr>
        <w:pStyle w:val="ListBullet"/>
      </w:pPr>
      <w:r>
        <w:t>Python 3.10 or newer is required.</w:t>
      </w:r>
    </w:p>
    <w:p>
      <w:pPr>
        <w:pStyle w:val="ListBullet"/>
      </w:pPr>
      <w:r>
        <w:t>Create a virtual environment and install requirements.txt, or install the project editable with pip install -e .</w:t>
      </w:r>
    </w:p>
    <w:p>
      <w:pPr>
        <w:pStyle w:val="ListBullet"/>
      </w:pPr>
      <w:r>
        <w:t>Core dependencies are NumPy, SciPy, Matplotlib, PyVista, Plotly, Pillow, and python-docx.</w:t>
      </w:r>
    </w:p>
    <w:p>
      <w:pPr>
        <w:pStyle w:val="ListBullet"/>
      </w:pPr>
      <w:r>
        <w:t>The frozen generator statistics package must remain under outputs/lca_ssm/lca_population_model/generator_statistics unless an alternate path is supplied.</w:t>
      </w:r>
    </w:p>
    <w:p>
      <w:pPr>
        <w:pStyle w:val="Heading2"/>
        <w:pageBreakBefore w:val="0"/>
      </w:pPr>
      <w:r>
        <w:t>11.2 Primary commands</w:t>
      </w:r>
    </w:p>
    <w:tbl>
      <w:tblPr>
        <w:tblStyle w:val="TableGrid"/>
        <w:tblW w:type="dxa" w:w="9360"/>
        <w:tblLayout w:type="fixed"/>
        <w:tblLook w:firstColumn="1" w:firstRow="1" w:lastColumn="0" w:lastRow="0" w:noHBand="0" w:noVBand="1" w:val="04A0"/>
        <w:jc w:val="left"/>
        <w:tblInd w:w="0" w:type="dxa"/>
      </w:tblPr>
      <w:tblGrid>
        <w:gridCol w:w="2400"/>
        <w:gridCol w:w="6960"/>
      </w:tblGrid>
      <w:tr>
        <w:trPr>
          <w:cantSplit/>
          <w:tblHeader w:val="true"/>
          <w:cantSplit/>
        </w:trPr>
        <w:tc>
          <w:tcPr>
            <w:tcW w:type="dxa" w:w="2400"/>
            <w:tcMar>
              <w:top w:w="85" w:type="dxa"/>
              <w:start w:w="120" w:type="dxa"/>
              <w:bottom w:w="85" w:type="dxa"/>
              <w:end w:w="120" w:type="dxa"/>
            </w:tcMar>
            <w:vAlign w:val="center"/>
            <w:shd w:fill="EAF2FB"/>
          </w:tcPr>
          <w:p>
            <w:pPr>
              <w:jc w:val="center"/>
            </w:pPr>
            <w:r>
              <w:rPr>
                <w:b/>
                <w:sz w:val="16"/>
              </w:rPr>
              <w:t>Task</w:t>
            </w:r>
          </w:p>
        </w:tc>
        <w:tc>
          <w:tcPr>
            <w:tcW w:type="dxa" w:w="6960"/>
            <w:tcMar>
              <w:top w:w="85" w:type="dxa"/>
              <w:start w:w="120" w:type="dxa"/>
              <w:bottom w:w="85" w:type="dxa"/>
              <w:end w:w="120" w:type="dxa"/>
            </w:tcMar>
            <w:vAlign w:val="center"/>
            <w:shd w:fill="EAF2FB"/>
          </w:tcPr>
          <w:p>
            <w:pPr>
              <w:jc w:val="center"/>
            </w:pPr>
            <w:r>
              <w:rPr>
                <w:b/>
                <w:sz w:val="16"/>
              </w:rPr>
              <w:t>PowerShell command</w:t>
            </w:r>
          </w:p>
        </w:tc>
      </w:tr>
      <w:tr>
        <w:trPr>
          <w:cantSplit/>
        </w:trPr>
        <w:tc>
          <w:tcPr>
            <w:tcW w:type="dxa" w:w="2400"/>
            <w:tcMar>
              <w:top w:w="85" w:type="dxa"/>
              <w:start w:w="120" w:type="dxa"/>
              <w:bottom w:w="85" w:type="dxa"/>
              <w:end w:w="120" w:type="dxa"/>
            </w:tcMar>
            <w:vAlign w:val="center"/>
          </w:tcPr>
          <w:p>
            <w:pPr>
              <w:jc w:val="left"/>
            </w:pPr>
            <w:r>
              <w:rPr>
                <w:sz w:val="16"/>
              </w:rPr>
              <w:t>Generate four demo cases</w:t>
            </w:r>
          </w:p>
        </w:tc>
        <w:tc>
          <w:tcPr>
            <w:tcW w:type="dxa" w:w="6960"/>
            <w:tcMar>
              <w:top w:w="85" w:type="dxa"/>
              <w:start w:w="120" w:type="dxa"/>
              <w:bottom w:w="85" w:type="dxa"/>
              <w:end w:w="120" w:type="dxa"/>
            </w:tcMar>
            <w:vAlign w:val="center"/>
          </w:tcPr>
          <w:p>
            <w:pPr>
              <w:jc w:val="left"/>
            </w:pPr>
            <w:r>
              <w:rPr>
                <w:sz w:val="16"/>
              </w:rPr>
              <w:t>.\.venv\Scripts\python.exe -m vessel_tree_generator demo --output-dir submission_release\demo_cases --clean</w:t>
            </w:r>
          </w:p>
        </w:tc>
      </w:tr>
      <w:tr>
        <w:trPr>
          <w:cantSplit/>
        </w:trPr>
        <w:tc>
          <w:tcPr>
            <w:tcW w:type="dxa" w:w="2400"/>
            <w:tcMar>
              <w:top w:w="85" w:type="dxa"/>
              <w:start w:w="120" w:type="dxa"/>
              <w:bottom w:w="85" w:type="dxa"/>
              <w:end w:w="120" w:type="dxa"/>
            </w:tcMar>
            <w:vAlign w:val="center"/>
          </w:tcPr>
          <w:p>
            <w:pPr>
              <w:jc w:val="left"/>
            </w:pPr>
            <w:r>
              <w:rPr>
                <w:sz w:val="16"/>
              </w:rPr>
              <w:t>Generate one focal LAD case</w:t>
            </w:r>
          </w:p>
        </w:tc>
        <w:tc>
          <w:tcPr>
            <w:tcW w:type="dxa" w:w="6960"/>
            <w:tcMar>
              <w:top w:w="85" w:type="dxa"/>
              <w:start w:w="120" w:type="dxa"/>
              <w:bottom w:w="85" w:type="dxa"/>
              <w:end w:w="120" w:type="dxa"/>
            </w:tcMar>
            <w:vAlign w:val="center"/>
          </w:tcPr>
          <w:p>
            <w:pPr>
              <w:jc w:val="left"/>
            </w:pPr>
            <w:r>
              <w:rPr>
                <w:sz w:val="16"/>
              </w:rPr>
              <w:t>.\.venv\Scripts\python.exe -m vessel_tree_generator generate --output-dir my_case --preset focal --branch LAD --position 0.45 --length 0.12 --severity 0.65 --clean</w:t>
            </w:r>
          </w:p>
        </w:tc>
      </w:tr>
      <w:tr>
        <w:trPr>
          <w:cantSplit/>
        </w:trPr>
        <w:tc>
          <w:tcPr>
            <w:tcW w:type="dxa" w:w="2400"/>
            <w:tcMar>
              <w:top w:w="85" w:type="dxa"/>
              <w:start w:w="120" w:type="dxa"/>
              <w:bottom w:w="85" w:type="dxa"/>
              <w:end w:w="120" w:type="dxa"/>
            </w:tcMar>
            <w:vAlign w:val="center"/>
          </w:tcPr>
          <w:p>
            <w:pPr>
              <w:jc w:val="left"/>
            </w:pPr>
            <w:r>
              <w:rPr>
                <w:sz w:val="16"/>
              </w:rPr>
              <w:t>Verify one export</w:t>
            </w:r>
          </w:p>
        </w:tc>
        <w:tc>
          <w:tcPr>
            <w:tcW w:type="dxa" w:w="6960"/>
            <w:tcMar>
              <w:top w:w="85" w:type="dxa"/>
              <w:start w:w="120" w:type="dxa"/>
              <w:bottom w:w="85" w:type="dxa"/>
              <w:end w:w="120" w:type="dxa"/>
            </w:tcMar>
            <w:vAlign w:val="center"/>
          </w:tcPr>
          <w:p>
            <w:pPr>
              <w:jc w:val="left"/>
            </w:pPr>
            <w:r>
              <w:rPr>
                <w:sz w:val="16"/>
              </w:rPr>
              <w:t>.\.venv\Scripts\python.exe -m vessel_tree_generator verify --input-dir my_case</w:t>
            </w:r>
          </w:p>
        </w:tc>
      </w:tr>
      <w:tr>
        <w:trPr>
          <w:cantSplit/>
        </w:trPr>
        <w:tc>
          <w:tcPr>
            <w:tcW w:type="dxa" w:w="2400"/>
            <w:tcMar>
              <w:top w:w="85" w:type="dxa"/>
              <w:start w:w="120" w:type="dxa"/>
              <w:bottom w:w="85" w:type="dxa"/>
              <w:end w:w="120" w:type="dxa"/>
            </w:tcMar>
            <w:vAlign w:val="center"/>
          </w:tcPr>
          <w:p>
            <w:pPr>
              <w:jc w:val="left"/>
            </w:pPr>
            <w:r>
              <w:rPr>
                <w:sz w:val="16"/>
              </w:rPr>
              <w:t>Create visual pack</w:t>
            </w:r>
          </w:p>
        </w:tc>
        <w:tc>
          <w:tcPr>
            <w:tcW w:type="dxa" w:w="6960"/>
            <w:tcMar>
              <w:top w:w="85" w:type="dxa"/>
              <w:start w:w="120" w:type="dxa"/>
              <w:bottom w:w="85" w:type="dxa"/>
              <w:end w:w="120" w:type="dxa"/>
            </w:tcMar>
            <w:vAlign w:val="center"/>
          </w:tcPr>
          <w:p>
            <w:pPr>
              <w:jc w:val="left"/>
            </w:pPr>
            <w:r>
              <w:rPr>
                <w:sz w:val="16"/>
              </w:rPr>
              <w:t>.\.venv\Scripts\python.exe -m vessel_tree_generator visualize --input-dir my_case --clean --standalone-html</w:t>
            </w:r>
          </w:p>
        </w:tc>
      </w:tr>
      <w:tr>
        <w:trPr>
          <w:cantSplit/>
        </w:trPr>
        <w:tc>
          <w:tcPr>
            <w:tcW w:type="dxa" w:w="2400"/>
            <w:tcMar>
              <w:top w:w="85" w:type="dxa"/>
              <w:start w:w="120" w:type="dxa"/>
              <w:bottom w:w="85" w:type="dxa"/>
              <w:end w:w="120" w:type="dxa"/>
            </w:tcMar>
            <w:vAlign w:val="center"/>
          </w:tcPr>
          <w:p>
            <w:pPr>
              <w:jc w:val="left"/>
            </w:pPr>
            <w:r>
              <w:rPr>
                <w:sz w:val="16"/>
              </w:rPr>
              <w:t>Audit full release</w:t>
            </w:r>
          </w:p>
        </w:tc>
        <w:tc>
          <w:tcPr>
            <w:tcW w:type="dxa" w:w="6960"/>
            <w:tcMar>
              <w:top w:w="85" w:type="dxa"/>
              <w:start w:w="120" w:type="dxa"/>
              <w:bottom w:w="85" w:type="dxa"/>
              <w:end w:w="120" w:type="dxa"/>
            </w:tcMar>
            <w:vAlign w:val="center"/>
          </w:tcPr>
          <w:p>
            <w:pPr>
              <w:jc w:val="left"/>
            </w:pPr>
            <w:r>
              <w:rPr>
                <w:sz w:val="16"/>
              </w:rPr>
              <w:t>.\.venv\Scripts\python.exe -m vessel_tree_generator audit --input-dir submission_release\demo_cases --release</w:t>
            </w:r>
          </w:p>
        </w:tc>
      </w:tr>
      <w:tr>
        <w:trPr>
          <w:cantSplit/>
        </w:trPr>
        <w:tc>
          <w:tcPr>
            <w:tcW w:type="dxa" w:w="2400"/>
            <w:tcMar>
              <w:top w:w="85" w:type="dxa"/>
              <w:start w:w="120" w:type="dxa"/>
              <w:bottom w:w="85" w:type="dxa"/>
              <w:end w:w="120" w:type="dxa"/>
            </w:tcMar>
            <w:vAlign w:val="center"/>
          </w:tcPr>
          <w:p>
            <w:pPr>
              <w:jc w:val="left"/>
            </w:pPr>
            <w:r>
              <w:rPr>
                <w:sz w:val="16"/>
              </w:rPr>
              <w:t>Rebuild population cohort</w:t>
            </w:r>
          </w:p>
        </w:tc>
        <w:tc>
          <w:tcPr>
            <w:tcW w:type="dxa" w:w="6960"/>
            <w:tcMar>
              <w:top w:w="85" w:type="dxa"/>
              <w:start w:w="120" w:type="dxa"/>
              <w:bottom w:w="85" w:type="dxa"/>
              <w:end w:w="120" w:type="dxa"/>
            </w:tcMar>
            <w:vAlign w:val="center"/>
          </w:tcPr>
          <w:p>
            <w:pPr>
              <w:jc w:val="left"/>
            </w:pPr>
            <w:r>
              <w:rPr>
                <w:sz w:val="16"/>
              </w:rPr>
              <w:t>.\.venv\Scripts\python.exe pipeline.py generate --count 52 --pca-scale 0.04 --clean</w:t>
            </w:r>
          </w:p>
        </w:tc>
      </w:tr>
      <w:tr>
        <w:trPr>
          <w:cantSplit/>
        </w:trPr>
        <w:tc>
          <w:tcPr>
            <w:tcW w:type="dxa" w:w="2400"/>
            <w:tcMar>
              <w:top w:w="85" w:type="dxa"/>
              <w:start w:w="120" w:type="dxa"/>
              <w:bottom w:w="85" w:type="dxa"/>
              <w:end w:w="120" w:type="dxa"/>
            </w:tcMar>
            <w:vAlign w:val="center"/>
          </w:tcPr>
          <w:p>
            <w:pPr>
              <w:jc w:val="left"/>
            </w:pPr>
            <w:r>
              <w:rPr>
                <w:sz w:val="16"/>
              </w:rPr>
              <w:t>Validate population</w:t>
            </w:r>
          </w:p>
        </w:tc>
        <w:tc>
          <w:tcPr>
            <w:tcW w:type="dxa" w:w="6960"/>
            <w:tcMar>
              <w:top w:w="85" w:type="dxa"/>
              <w:start w:w="120" w:type="dxa"/>
              <w:bottom w:w="85" w:type="dxa"/>
              <w:end w:w="120" w:type="dxa"/>
            </w:tcMar>
            <w:vAlign w:val="center"/>
          </w:tcPr>
          <w:p>
            <w:pPr>
              <w:jc w:val="left"/>
            </w:pPr>
            <w:r>
              <w:rPr>
                <w:sz w:val="16"/>
              </w:rPr>
              <w:t>.\.venv\Scripts\python.exe pipeline.py validate --clean</w:t>
            </w:r>
          </w:p>
        </w:tc>
      </w:tr>
      <w:tr>
        <w:trPr>
          <w:cantSplit/>
        </w:trPr>
        <w:tc>
          <w:tcPr>
            <w:tcW w:type="dxa" w:w="2400"/>
            <w:tcMar>
              <w:top w:w="85" w:type="dxa"/>
              <w:start w:w="120" w:type="dxa"/>
              <w:bottom w:w="85" w:type="dxa"/>
              <w:end w:w="120" w:type="dxa"/>
            </w:tcMar>
            <w:vAlign w:val="center"/>
          </w:tcPr>
          <w:p>
            <w:pPr>
              <w:jc w:val="left"/>
            </w:pPr>
            <w:r>
              <w:rPr>
                <w:sz w:val="16"/>
              </w:rPr>
              <w:t>Validate novelty</w:t>
            </w:r>
          </w:p>
        </w:tc>
        <w:tc>
          <w:tcPr>
            <w:tcW w:type="dxa" w:w="6960"/>
            <w:tcMar>
              <w:top w:w="85" w:type="dxa"/>
              <w:start w:w="120" w:type="dxa"/>
              <w:bottom w:w="85" w:type="dxa"/>
              <w:end w:w="120" w:type="dxa"/>
            </w:tcMar>
            <w:vAlign w:val="center"/>
          </w:tcPr>
          <w:p>
            <w:pPr>
              <w:jc w:val="left"/>
            </w:pPr>
            <w:r>
              <w:rPr>
                <w:sz w:val="16"/>
              </w:rPr>
              <w:t>.\.venv\Scripts\python.exe pipeline.py novelty-validate</w:t>
            </w:r>
          </w:p>
        </w:tc>
      </w:tr>
      <w:tr>
        <w:trPr>
          <w:cantSplit/>
        </w:trPr>
        <w:tc>
          <w:tcPr>
            <w:tcW w:type="dxa" w:w="2400"/>
            <w:tcMar>
              <w:top w:w="85" w:type="dxa"/>
              <w:start w:w="120" w:type="dxa"/>
              <w:bottom w:w="85" w:type="dxa"/>
              <w:end w:w="120" w:type="dxa"/>
            </w:tcMar>
            <w:vAlign w:val="center"/>
          </w:tcPr>
          <w:p>
            <w:pPr>
              <w:jc w:val="left"/>
            </w:pPr>
            <w:r>
              <w:rPr>
                <w:sz w:val="16"/>
              </w:rPr>
              <w:t>Run internal holdout</w:t>
            </w:r>
          </w:p>
        </w:tc>
        <w:tc>
          <w:tcPr>
            <w:tcW w:type="dxa" w:w="6960"/>
            <w:tcMar>
              <w:top w:w="85" w:type="dxa"/>
              <w:start w:w="120" w:type="dxa"/>
              <w:bottom w:w="85" w:type="dxa"/>
              <w:end w:w="120" w:type="dxa"/>
            </w:tcMar>
            <w:vAlign w:val="center"/>
          </w:tcPr>
          <w:p>
            <w:pPr>
              <w:jc w:val="left"/>
            </w:pPr>
            <w:r>
              <w:rPr>
                <w:sz w:val="16"/>
              </w:rPr>
              <w:t>.\.venv\Scripts\python.exe pipeline.py holdout-validate</w:t>
            </w:r>
          </w:p>
        </w:tc>
      </w:tr>
      <w:tr>
        <w:trPr>
          <w:cantSplit/>
        </w:trPr>
        <w:tc>
          <w:tcPr>
            <w:tcW w:type="dxa" w:w="2400"/>
            <w:tcMar>
              <w:top w:w="85" w:type="dxa"/>
              <w:start w:w="120" w:type="dxa"/>
              <w:bottom w:w="85" w:type="dxa"/>
              <w:end w:w="120" w:type="dxa"/>
            </w:tcMar>
            <w:vAlign w:val="center"/>
          </w:tcPr>
          <w:p>
            <w:pPr>
              <w:jc w:val="left"/>
            </w:pPr>
            <w:r>
              <w:rPr>
                <w:sz w:val="16"/>
              </w:rPr>
              <w:t>Run complete final audit</w:t>
            </w:r>
          </w:p>
        </w:tc>
        <w:tc>
          <w:tcPr>
            <w:tcW w:type="dxa" w:w="6960"/>
            <w:tcMar>
              <w:top w:w="85" w:type="dxa"/>
              <w:start w:w="120" w:type="dxa"/>
              <w:bottom w:w="85" w:type="dxa"/>
              <w:end w:w="120" w:type="dxa"/>
            </w:tcMar>
            <w:vAlign w:val="center"/>
          </w:tcPr>
          <w:p>
            <w:pPr>
              <w:jc w:val="left"/>
            </w:pPr>
            <w:r>
              <w:rPr>
                <w:sz w:val="16"/>
              </w:rPr>
              <w:t>.\.venv\Scripts\python.exe pipeline.py audit-final</w:t>
            </w:r>
          </w:p>
        </w:tc>
      </w:tr>
    </w:tbl>
    <w:p>
      <w:pPr>
        <w:spacing w:after="0"/>
      </w:pPr>
    </w:p>
    <w:p>
      <w:pPr>
        <w:pStyle w:val="Heading2"/>
        <w:pageBreakBefore w:val="0"/>
      </w:pPr>
      <w:r>
        <w:t>11.3 Python API pattern</w:t>
      </w:r>
    </w:p>
    <w:p>
      <w:r>
        <w:t>Instantiate CoronaryTreeGenerator, create a stenosis_config, and call generate_case. For controlled disease comparisons, call sample_reference once and reuse the returned reference for every disease configuration. GenerationConfig controls seed, source case, PCA scale, attempts, and heart rate; MotionConfig controls phases and deformation; PulsatilityConfig independently controls radius amplitude, pulse peak phase, and lesion compliance.</w:t>
      </w:r>
    </w:p>
    <w:p>
      <w:pPr>
        <w:pStyle w:val="Heading2"/>
        <w:pageBreakBefore/>
      </w:pPr>
      <w:r>
        <w:t>11.4 Reproducibility and leakage control</w:t>
      </w:r>
    </w:p>
    <w:p>
      <w:pPr>
        <w:pStyle w:val="ListBullet"/>
      </w:pPr>
      <w:r>
        <w:t>Seeds and source_case_id are recorded in metadata and manifests.</w:t>
      </w:r>
    </w:p>
    <w:p>
      <w:pPr>
        <w:pStyle w:val="ListBullet"/>
      </w:pPr>
      <w:r>
        <w:t>Generated trees are synthetic derivatives, not new independent patients.</w:t>
      </w:r>
    </w:p>
    <w:p>
      <w:pPr>
        <w:pStyle w:val="ListBullet"/>
      </w:pPr>
      <w:r>
        <w:t>For machine-learning splits, group every generated derivative, disease state, and phase by source_case_id to prevent train/validation/test leakage.</w:t>
      </w:r>
    </w:p>
    <w:p>
      <w:pPr>
        <w:pStyle w:val="ListBullet"/>
      </w:pPr>
      <w:r>
        <w:t>The canonical scheduler covers 52 source baselines before repeating one; counts above 52 add variations, not new subjects.</w:t>
      </w:r>
    </w:p>
    <w:p>
      <w:pPr>
        <w:pStyle w:val="ListBullet"/>
      </w:pPr>
      <w:r>
        <w:t>Checksums detect post-export changes, and verify reopens VTK plus checks array shape, radii, topology, and hashes.</w:t>
      </w:r>
    </w:p>
    <w:p>
      <w:pPr>
        <w:pStyle w:val="ListBullet"/>
      </w:pPr>
      <w:r>
        <w:t>Protected source geometry is never edited; outputs and bulk runs are regenerated from frozen statistics and tracked code.</w:t>
      </w:r>
    </w:p>
    <w:p>
      <w:pPr>
        <w:pStyle w:val="Heading1"/>
        <w:pageBreakBefore/>
      </w:pPr>
      <w:r>
        <w:t>12. Limitations, risk boundaries, and future work</w:t>
      </w:r>
    </w:p>
    <w:p>
      <w:pPr>
        <w:pStyle w:val="Heading2"/>
        <w:pageBreakBefore w:val="0"/>
      </w:pPr>
      <w:r>
        <w:t>12.1 Limitations that remain</w:t>
      </w:r>
    </w:p>
    <w:tbl>
      <w:tblPr>
        <w:tblStyle w:val="TableGrid"/>
        <w:tblW w:type="dxa" w:w="9360"/>
        <w:tblLayout w:type="fixed"/>
        <w:tblLook w:firstColumn="1" w:firstRow="1" w:lastColumn="0" w:lastRow="0" w:noHBand="0" w:noVBand="1" w:val="04A0"/>
        <w:jc w:val="left"/>
        <w:tblInd w:w="0" w:type="dxa"/>
      </w:tblPr>
      <w:tblGrid>
        <w:gridCol w:w="2350"/>
        <w:gridCol w:w="7010"/>
      </w:tblGrid>
      <w:tr>
        <w:trPr>
          <w:cantSplit/>
          <w:tblHeader w:val="true"/>
          <w:cantSplit/>
        </w:trPr>
        <w:tc>
          <w:tcPr>
            <w:tcW w:type="dxa" w:w="2350"/>
            <w:tcMar>
              <w:top w:w="85" w:type="dxa"/>
              <w:start w:w="120" w:type="dxa"/>
              <w:bottom w:w="85" w:type="dxa"/>
              <w:end w:w="120" w:type="dxa"/>
            </w:tcMar>
            <w:vAlign w:val="center"/>
            <w:shd w:fill="FEF7E0"/>
          </w:tcPr>
          <w:p>
            <w:pPr>
              <w:jc w:val="center"/>
            </w:pPr>
            <w:r>
              <w:rPr>
                <w:b/>
                <w:sz w:val="17"/>
              </w:rPr>
              <w:t>Limitation</w:t>
            </w:r>
          </w:p>
        </w:tc>
        <w:tc>
          <w:tcPr>
            <w:tcW w:type="dxa" w:w="7010"/>
            <w:tcMar>
              <w:top w:w="85" w:type="dxa"/>
              <w:start w:w="120" w:type="dxa"/>
              <w:bottom w:w="85" w:type="dxa"/>
              <w:end w:w="120" w:type="dxa"/>
            </w:tcMar>
            <w:vAlign w:val="center"/>
            <w:shd w:fill="FEF7E0"/>
          </w:tcPr>
          <w:p>
            <w:pPr>
              <w:jc w:val="center"/>
            </w:pPr>
            <w:r>
              <w:rPr>
                <w:b/>
                <w:sz w:val="17"/>
              </w:rPr>
              <w:t>Consequence</w:t>
            </w:r>
          </w:p>
        </w:tc>
      </w:tr>
      <w:tr>
        <w:trPr>
          <w:cantSplit/>
        </w:trPr>
        <w:tc>
          <w:tcPr>
            <w:tcW w:type="dxa" w:w="2350"/>
            <w:tcMar>
              <w:top w:w="85" w:type="dxa"/>
              <w:start w:w="120" w:type="dxa"/>
              <w:bottom w:w="85" w:type="dxa"/>
              <w:end w:w="120" w:type="dxa"/>
            </w:tcMar>
            <w:vAlign w:val="center"/>
          </w:tcPr>
          <w:p>
            <w:pPr>
              <w:jc w:val="left"/>
            </w:pPr>
            <w:r>
              <w:rPr>
                <w:sz w:val="17"/>
              </w:rPr>
              <w:t>Small effective sample</w:t>
            </w:r>
          </w:p>
        </w:tc>
        <w:tc>
          <w:tcPr>
            <w:tcW w:type="dxa" w:w="7010"/>
            <w:tcMar>
              <w:top w:w="85" w:type="dxa"/>
              <w:start w:w="120" w:type="dxa"/>
              <w:bottom w:w="85" w:type="dxa"/>
              <w:end w:w="120" w:type="dxa"/>
            </w:tcMar>
            <w:vAlign w:val="center"/>
          </w:tcPr>
          <w:p>
            <w:pPr>
              <w:jc w:val="left"/>
            </w:pPr>
            <w:r>
              <w:rPr>
                <w:sz w:val="17"/>
              </w:rPr>
              <w:t>Only 52 independent eligible anatomies support an 81-feature, 13-mode model. Synthetic derivatives do not increase clinical sample size.</w:t>
            </w:r>
          </w:p>
        </w:tc>
      </w:tr>
      <w:tr>
        <w:trPr>
          <w:cantSplit/>
        </w:trPr>
        <w:tc>
          <w:tcPr>
            <w:tcW w:type="dxa" w:w="2350"/>
            <w:tcMar>
              <w:top w:w="85" w:type="dxa"/>
              <w:start w:w="120" w:type="dxa"/>
              <w:bottom w:w="85" w:type="dxa"/>
              <w:end w:w="120" w:type="dxa"/>
            </w:tcMar>
            <w:vAlign w:val="center"/>
          </w:tcPr>
          <w:p>
            <w:pPr>
              <w:jc w:val="left"/>
            </w:pPr>
            <w:r>
              <w:rPr>
                <w:sz w:val="17"/>
              </w:rPr>
              <w:t>Selection bias</w:t>
            </w:r>
          </w:p>
        </w:tc>
        <w:tc>
          <w:tcPr>
            <w:tcW w:type="dxa" w:w="7010"/>
            <w:tcMar>
              <w:top w:w="85" w:type="dxa"/>
              <w:start w:w="120" w:type="dxa"/>
              <w:bottom w:w="85" w:type="dxa"/>
              <w:end w:w="120" w:type="dxa"/>
            </w:tcMar>
            <w:vAlign w:val="center"/>
          </w:tcPr>
          <w:p>
            <w:pPr>
              <w:jc w:val="left"/>
            </w:pPr>
            <w:r>
              <w:rPr>
                <w:sz w:val="17"/>
              </w:rPr>
              <w:t>Strict gating excludes 129 resolved cases and may favor clean/common anatomies.</w:t>
            </w:r>
          </w:p>
        </w:tc>
      </w:tr>
      <w:tr>
        <w:trPr>
          <w:cantSplit/>
        </w:trPr>
        <w:tc>
          <w:tcPr>
            <w:tcW w:type="dxa" w:w="2350"/>
            <w:tcMar>
              <w:top w:w="85" w:type="dxa"/>
              <w:start w:w="120" w:type="dxa"/>
              <w:bottom w:w="85" w:type="dxa"/>
              <w:end w:w="120" w:type="dxa"/>
            </w:tcMar>
            <w:vAlign w:val="center"/>
          </w:tcPr>
          <w:p>
            <w:pPr>
              <w:jc w:val="left"/>
            </w:pPr>
            <w:r>
              <w:rPr>
                <w:sz w:val="17"/>
              </w:rPr>
              <w:t>No external cohort</w:t>
            </w:r>
          </w:p>
        </w:tc>
        <w:tc>
          <w:tcPr>
            <w:tcW w:type="dxa" w:w="7010"/>
            <w:tcMar>
              <w:top w:w="85" w:type="dxa"/>
              <w:start w:w="120" w:type="dxa"/>
              <w:bottom w:w="85" w:type="dxa"/>
              <w:end w:w="120" w:type="dxa"/>
            </w:tcMar>
            <w:vAlign w:val="center"/>
          </w:tcPr>
          <w:p>
            <w:pPr>
              <w:jc w:val="left"/>
            </w:pPr>
            <w:r>
              <w:rPr>
                <w:sz w:val="17"/>
              </w:rPr>
              <w:t>A source-grouped five-fold internal holdout is provided, but no independent institution or clinical cohort was available.</w:t>
            </w:r>
          </w:p>
        </w:tc>
      </w:tr>
      <w:tr>
        <w:trPr>
          <w:cantSplit/>
        </w:trPr>
        <w:tc>
          <w:tcPr>
            <w:tcW w:type="dxa" w:w="2350"/>
            <w:tcMar>
              <w:top w:w="85" w:type="dxa"/>
              <w:start w:w="120" w:type="dxa"/>
              <w:bottom w:w="85" w:type="dxa"/>
              <w:end w:w="120" w:type="dxa"/>
            </w:tcMar>
            <w:vAlign w:val="center"/>
          </w:tcPr>
          <w:p>
            <w:pPr>
              <w:jc w:val="left"/>
            </w:pPr>
            <w:r>
              <w:rPr>
                <w:sz w:val="17"/>
              </w:rPr>
              <w:t>LCA-only anatomy</w:t>
            </w:r>
          </w:p>
        </w:tc>
        <w:tc>
          <w:tcPr>
            <w:tcW w:type="dxa" w:w="7010"/>
            <w:tcMar>
              <w:top w:w="85" w:type="dxa"/>
              <w:start w:w="120" w:type="dxa"/>
              <w:bottom w:w="85" w:type="dxa"/>
              <w:end w:w="120" w:type="dxa"/>
            </w:tcMar>
            <w:vAlign w:val="center"/>
          </w:tcPr>
          <w:p>
            <w:pPr>
              <w:jc w:val="left"/>
            </w:pPr>
            <w:r>
              <w:rPr>
                <w:sz w:val="17"/>
              </w:rPr>
              <w:t>RCA and side branches are absent from the final population contract.</w:t>
            </w:r>
          </w:p>
        </w:tc>
      </w:tr>
      <w:tr>
        <w:trPr>
          <w:cantSplit/>
        </w:trPr>
        <w:tc>
          <w:tcPr>
            <w:tcW w:type="dxa" w:w="2350"/>
            <w:tcMar>
              <w:top w:w="85" w:type="dxa"/>
              <w:start w:w="120" w:type="dxa"/>
              <w:bottom w:w="85" w:type="dxa"/>
              <w:end w:w="120" w:type="dxa"/>
            </w:tcMar>
            <w:vAlign w:val="center"/>
          </w:tcPr>
          <w:p>
            <w:pPr>
              <w:jc w:val="left"/>
            </w:pPr>
            <w:r>
              <w:rPr>
                <w:sz w:val="17"/>
              </w:rPr>
              <w:t>Linear PCA</w:t>
            </w:r>
          </w:p>
        </w:tc>
        <w:tc>
          <w:tcPr>
            <w:tcW w:type="dxa" w:w="7010"/>
            <w:tcMar>
              <w:top w:w="85" w:type="dxa"/>
              <w:start w:w="120" w:type="dxa"/>
              <w:bottom w:w="85" w:type="dxa"/>
              <w:end w:w="120" w:type="dxa"/>
            </w:tcMar>
            <w:vAlign w:val="center"/>
          </w:tcPr>
          <w:p>
            <w:pPr>
              <w:jc w:val="left"/>
            </w:pPr>
            <w:r>
              <w:rPr>
                <w:sz w:val="17"/>
              </w:rPr>
              <w:t>A linear Gaussian-mode approximation may miss multimodal dominance patterns, rare variants, or nonlinear shape manifolds.</w:t>
            </w:r>
          </w:p>
        </w:tc>
      </w:tr>
      <w:tr>
        <w:trPr>
          <w:cantSplit/>
        </w:trPr>
        <w:tc>
          <w:tcPr>
            <w:tcW w:type="dxa" w:w="2350"/>
            <w:tcMar>
              <w:top w:w="85" w:type="dxa"/>
              <w:start w:w="120" w:type="dxa"/>
              <w:bottom w:w="85" w:type="dxa"/>
              <w:end w:w="120" w:type="dxa"/>
            </w:tcMar>
            <w:vAlign w:val="center"/>
          </w:tcPr>
          <w:p>
            <w:pPr>
              <w:jc w:val="left"/>
            </w:pPr>
            <w:r>
              <w:rPr>
                <w:sz w:val="17"/>
              </w:rPr>
              <w:t>Parametric radius</w:t>
            </w:r>
          </w:p>
        </w:tc>
        <w:tc>
          <w:tcPr>
            <w:tcW w:type="dxa" w:w="7010"/>
            <w:tcMar>
              <w:top w:w="85" w:type="dxa"/>
              <w:start w:w="120" w:type="dxa"/>
              <w:bottom w:w="85" w:type="dxa"/>
              <w:end w:w="120" w:type="dxa"/>
            </w:tcMar>
            <w:vAlign w:val="center"/>
          </w:tcPr>
          <w:p>
            <w:pPr>
              <w:jc w:val="left"/>
            </w:pPr>
            <w:r>
              <w:rPr>
                <w:sz w:val="17"/>
              </w:rPr>
              <w:t>Taper and proximal radii are defaults, not learned distributions or patient measurements.</w:t>
            </w:r>
          </w:p>
        </w:tc>
      </w:tr>
      <w:tr>
        <w:trPr>
          <w:cantSplit/>
        </w:trPr>
        <w:tc>
          <w:tcPr>
            <w:tcW w:type="dxa" w:w="2350"/>
            <w:tcMar>
              <w:top w:w="85" w:type="dxa"/>
              <w:start w:w="120" w:type="dxa"/>
              <w:bottom w:w="85" w:type="dxa"/>
              <w:end w:w="120" w:type="dxa"/>
            </w:tcMar>
            <w:vAlign w:val="center"/>
          </w:tcPr>
          <w:p>
            <w:pPr>
              <w:jc w:val="left"/>
            </w:pPr>
            <w:r>
              <w:rPr>
                <w:sz w:val="17"/>
              </w:rPr>
              <w:t>Parametric physiology</w:t>
            </w:r>
          </w:p>
        </w:tc>
        <w:tc>
          <w:tcPr>
            <w:tcW w:type="dxa" w:w="7010"/>
            <w:tcMar>
              <w:top w:w="85" w:type="dxa"/>
              <w:start w:w="120" w:type="dxa"/>
              <w:bottom w:w="85" w:type="dxa"/>
              <w:end w:w="120" w:type="dxa"/>
            </w:tcMar>
            <w:vAlign w:val="center"/>
          </w:tcPr>
          <w:p>
            <w:pPr>
              <w:jc w:val="left"/>
            </w:pPr>
            <w:r>
              <w:rPr>
                <w:sz w:val="17"/>
              </w:rPr>
              <w:t>Motion, pulsatility, and compliance are explicit mechanisms, not subject-specific measurements or FSI.</w:t>
            </w:r>
          </w:p>
        </w:tc>
      </w:tr>
      <w:tr>
        <w:trPr>
          <w:cantSplit/>
        </w:trPr>
        <w:tc>
          <w:tcPr>
            <w:tcW w:type="dxa" w:w="2350"/>
            <w:tcMar>
              <w:top w:w="85" w:type="dxa"/>
              <w:start w:w="120" w:type="dxa"/>
              <w:bottom w:w="85" w:type="dxa"/>
              <w:end w:w="120" w:type="dxa"/>
            </w:tcMar>
            <w:vAlign w:val="center"/>
          </w:tcPr>
          <w:p>
            <w:pPr>
              <w:jc w:val="left"/>
            </w:pPr>
            <w:r>
              <w:rPr>
                <w:sz w:val="17"/>
              </w:rPr>
              <w:t>Simplified disease</w:t>
            </w:r>
          </w:p>
        </w:tc>
        <w:tc>
          <w:tcPr>
            <w:tcW w:type="dxa" w:w="7010"/>
            <w:tcMar>
              <w:top w:w="85" w:type="dxa"/>
              <w:start w:w="120" w:type="dxa"/>
              <w:bottom w:w="85" w:type="dxa"/>
              <w:end w:w="120" w:type="dxa"/>
            </w:tcMar>
            <w:vAlign w:val="center"/>
          </w:tcPr>
          <w:p>
            <w:pPr>
              <w:jc w:val="left"/>
            </w:pPr>
            <w:r>
              <w:rPr>
                <w:sz w:val="17"/>
              </w:rPr>
              <w:t>Stenosis is a smooth axisymmetric radius profile; eccentric plaque, calcification, remodeling, and wall morphology are absent.</w:t>
            </w:r>
          </w:p>
        </w:tc>
      </w:tr>
      <w:tr>
        <w:trPr>
          <w:cantSplit/>
        </w:trPr>
        <w:tc>
          <w:tcPr>
            <w:tcW w:type="dxa" w:w="2350"/>
            <w:tcMar>
              <w:top w:w="85" w:type="dxa"/>
              <w:start w:w="120" w:type="dxa"/>
              <w:bottom w:w="85" w:type="dxa"/>
              <w:end w:w="120" w:type="dxa"/>
            </w:tcMar>
            <w:vAlign w:val="center"/>
          </w:tcPr>
          <w:p>
            <w:pPr>
              <w:jc w:val="left"/>
            </w:pPr>
            <w:r>
              <w:rPr>
                <w:sz w:val="17"/>
              </w:rPr>
              <w:t>No hemodynamics</w:t>
            </w:r>
          </w:p>
        </w:tc>
        <w:tc>
          <w:tcPr>
            <w:tcW w:type="dxa" w:w="7010"/>
            <w:tcMar>
              <w:top w:w="85" w:type="dxa"/>
              <w:start w:w="120" w:type="dxa"/>
              <w:bottom w:w="85" w:type="dxa"/>
              <w:end w:w="120" w:type="dxa"/>
            </w:tcMar>
            <w:vAlign w:val="center"/>
          </w:tcPr>
          <w:p>
            <w:pPr>
              <w:jc w:val="left"/>
            </w:pPr>
            <w:r>
              <w:rPr>
                <w:sz w:val="17"/>
              </w:rPr>
              <w:t>The project does not calculate pressure, flow, FFR, WSS, perfusion, or ischemia.</w:t>
            </w:r>
          </w:p>
        </w:tc>
      </w:tr>
      <w:tr>
        <w:trPr>
          <w:cantSplit/>
        </w:trPr>
        <w:tc>
          <w:tcPr>
            <w:tcW w:type="dxa" w:w="2350"/>
            <w:tcMar>
              <w:top w:w="85" w:type="dxa"/>
              <w:start w:w="120" w:type="dxa"/>
              <w:bottom w:w="85" w:type="dxa"/>
              <w:end w:w="120" w:type="dxa"/>
            </w:tcMar>
            <w:vAlign w:val="center"/>
          </w:tcPr>
          <w:p>
            <w:pPr>
              <w:jc w:val="left"/>
            </w:pPr>
            <w:r>
              <w:rPr>
                <w:sz w:val="17"/>
              </w:rPr>
              <w:t>Clinical status</w:t>
            </w:r>
          </w:p>
        </w:tc>
        <w:tc>
          <w:tcPr>
            <w:tcW w:type="dxa" w:w="7010"/>
            <w:tcMar>
              <w:top w:w="85" w:type="dxa"/>
              <w:start w:w="120" w:type="dxa"/>
              <w:bottom w:w="85" w:type="dxa"/>
              <w:end w:w="120" w:type="dxa"/>
            </w:tcMar>
            <w:vAlign w:val="center"/>
          </w:tcPr>
          <w:p>
            <w:pPr>
              <w:jc w:val="left"/>
            </w:pPr>
            <w:r>
              <w:rPr>
                <w:sz w:val="17"/>
              </w:rPr>
              <w:t>No clinical outcomes, expert-reader study, regulatory process, or prospective validation has been performed.</w:t>
            </w:r>
          </w:p>
        </w:tc>
      </w:tr>
    </w:tbl>
    <w:p>
      <w:pPr>
        <w:spacing w:after="0"/>
      </w:pPr>
    </w:p>
    <w:p>
      <w:pPr>
        <w:pStyle w:val="Heading2"/>
        <w:pageBreakBefore w:val="0"/>
      </w:pPr>
      <w:r>
        <w:t>12.2 What was safely improved in the final pass</w:t>
      </w:r>
    </w:p>
    <w:p>
      <w:pPr>
        <w:pStyle w:val="ListBullet"/>
      </w:pPr>
      <w:r>
        <w:t>Canonical population size increased from 25 to 52 so every eligible baseline is represented once.</w:t>
      </w:r>
    </w:p>
    <w:p>
      <w:pPr>
        <w:pStyle w:val="ListBullet"/>
      </w:pPr>
      <w:r>
        <w:t>PCA innovation reduced from 0.08 to 0.04 based on controlled distribution evidence, eliminating the LMCA turn mismatch without collapsing LAD/LCX spread.</w:t>
      </w:r>
    </w:p>
    <w:p>
      <w:pPr>
        <w:pStyle w:val="ListBullet"/>
      </w:pPr>
      <w:r>
        <w:t>Learned hard extrema were added for branch tortuosity, obliquity, backward progress, terminal progress, and local turn.</w:t>
      </w:r>
    </w:p>
    <w:p>
      <w:pPr>
        <w:pStyle w:val="ListBullet"/>
      </w:pPr>
      <w:r>
        <w:t>Radial-motion default reduced from 15% to 14%, moving representative maximum displacement from 8.22 mm to 7.81 mm.</w:t>
      </w:r>
    </w:p>
    <w:p>
      <w:pPr>
        <w:pStyle w:val="ListBullet"/>
      </w:pPr>
      <w:r>
        <w:t>Single-case CLI audit status handling was fixed and verified.</w:t>
      </w:r>
    </w:p>
    <w:p>
      <w:pPr>
        <w:pStyle w:val="ListBullet"/>
      </w:pPr>
      <w:r>
        <w:t>The empirical dense-curve stage was converted from a misleading PCHIP-named helper into an explicit, behavior-preserving cubic B-spline basis.</w:t>
      </w:r>
    </w:p>
    <w:p>
      <w:pPr>
        <w:pStyle w:val="ListBullet"/>
      </w:pPr>
      <w:r>
        <w:t>Generation novelty, three sampling strategies, exact PCA recomputation, and source-grouped five-fold internal holdout were added without weakening gates.</w:t>
      </w:r>
    </w:p>
    <w:p>
      <w:pPr>
        <w:pStyle w:val="ListBullet"/>
      </w:pPr>
      <w:r>
        <w:t>Population and demo phase conventions were unified to nine independent geometric positions plus one repeated closure frame.</w:t>
      </w:r>
    </w:p>
    <w:p>
      <w:pPr>
        <w:pStyle w:val="ListBullet"/>
      </w:pPr>
      <w:r>
        <w:t>All population, motion, export, release, visualization, and documentation artifacts were regenerated from the final settings.</w:t>
      </w:r>
    </w:p>
    <w:p>
      <w:pPr>
        <w:pStyle w:val="Heading2"/>
        <w:pageBreakBefore w:val="0"/>
      </w:pPr>
      <w:r>
        <w:t>12.3 Recommended next work</w:t>
      </w:r>
    </w:p>
    <w:p>
      <w:pPr>
        <w:spacing w:after="100"/>
        <w:ind w:left="720" w:hanging="360"/>
      </w:pPr>
      <w:r>
        <w:t xml:space="preserve">1.  </w:t>
      </w:r>
      <w:r>
        <w:t>Acquire expert-reviewed RCA and side-branch topology and build a separate confidence-resolved extension.</w:t>
      </w:r>
    </w:p>
    <w:p>
      <w:pPr>
        <w:spacing w:after="100"/>
        <w:ind w:left="720" w:hanging="360"/>
      </w:pPr>
      <w:r>
        <w:t xml:space="preserve">2.  </w:t>
      </w:r>
      <w:r>
        <w:t>Recover more of the 181 resolved cases by diagnosing frame/ellipsoid/representation failures without weakening anatomy gates.</w:t>
      </w:r>
    </w:p>
    <w:p>
      <w:pPr>
        <w:spacing w:after="100"/>
        <w:ind w:left="720" w:hanging="360"/>
      </w:pPr>
      <w:r>
        <w:t xml:space="preserve">3.  </w:t>
      </w:r>
      <w:r>
        <w:t>Add an external source-grouped cohort and reader-based anatomical scoring.</w:t>
      </w:r>
    </w:p>
    <w:p>
      <w:pPr>
        <w:spacing w:after="100"/>
        <w:ind w:left="720" w:hanging="360"/>
      </w:pPr>
      <w:r>
        <w:t xml:space="preserve">4.  </w:t>
      </w:r>
      <w:r>
        <w:t>Learn diameter, taper, motion, and compliance distributions from patient data with metadata and acquisition definitions.</w:t>
      </w:r>
    </w:p>
    <w:p>
      <w:pPr>
        <w:spacing w:after="100"/>
        <w:ind w:left="720" w:hanging="360"/>
      </w:pPr>
      <w:r>
        <w:t xml:space="preserve">5.  </w:t>
      </w:r>
      <w:r>
        <w:t>Evaluate nonlinear or conditional shape models only after the real cohort is substantially expanded.</w:t>
      </w:r>
    </w:p>
    <w:p>
      <w:pPr>
        <w:spacing w:after="100"/>
        <w:ind w:left="720" w:hanging="360"/>
      </w:pPr>
      <w:r>
        <w:t xml:space="preserve">6.  </w:t>
      </w:r>
      <w:r>
        <w:t>Add eccentric plaque surfaces, vessel wall representation, and optional CFD/FSI as separately validated modules.</w:t>
      </w:r>
    </w:p>
    <w:p>
      <w:pPr>
        <w:spacing w:after="100"/>
        <w:ind w:left="720" w:hanging="360"/>
      </w:pPr>
      <w:r>
        <w:t xml:space="preserve">7.  </w:t>
      </w:r>
      <w:r>
        <w:t>Generate and maintain the final presentation deck from the verified figures and machine-readable result tables without introducing new claims.</w:t>
      </w:r>
    </w:p>
    <w:p>
      <w:pPr>
        <w:pStyle w:val="Heading1"/>
        <w:pageBreakBefore/>
      </w:pPr>
      <w:r>
        <w:t>13. Presentation handoff</w:t>
      </w:r>
    </w:p>
    <w:p>
      <w:pPr>
        <w:pStyle w:val="Heading2"/>
        <w:pageBreakBefore w:val="0"/>
      </w:pPr>
      <w:r>
        <w:t>13.1 Recommended demonstration order</w:t>
      </w:r>
    </w:p>
    <w:p>
      <w:pPr>
        <w:spacing w:after="100"/>
        <w:ind w:left="720" w:hanging="360"/>
      </w:pPr>
      <w:r>
        <w:t xml:space="preserve">1.  </w:t>
      </w:r>
      <w:r>
        <w:t>Start with submission_release/demo_cases/disease_mode_comparison.png to establish controlled same-anatomy disease comparison.</w:t>
      </w:r>
    </w:p>
    <w:p>
      <w:pPr>
        <w:spacing w:after="100"/>
        <w:ind w:left="720" w:hanging="360"/>
      </w:pPr>
      <w:r>
        <w:t xml:space="preserve">2.  </w:t>
      </w:r>
      <w:r>
        <w:t>Open focal_lad/visualizations/validation_dashboard.png to explain anatomy, radius, motion, topology, pulsatility, and tortuosity together.</w:t>
      </w:r>
    </w:p>
    <w:p>
      <w:pPr>
        <w:spacing w:after="100"/>
        <w:ind w:left="720" w:hanging="360"/>
      </w:pPr>
      <w:r>
        <w:t xml:space="preserve">3.  </w:t>
      </w:r>
      <w:r>
        <w:t>Open focal_lad/visualizations/interactive_tree.html for rotation, zoom, phase slider, playback, hover values, and disease coloring.</w:t>
      </w:r>
    </w:p>
    <w:p>
      <w:pPr>
        <w:spacing w:after="100"/>
        <w:ind w:left="720" w:hanging="360"/>
      </w:pPr>
      <w:r>
        <w:t xml:space="preserve">4.  </w:t>
      </w:r>
      <w:r>
        <w:t>Open focal_lad/vtk/cine.pvd in ParaView, color by radius_mm or disease_reduction_fraction, and play the sequence.</w:t>
      </w:r>
    </w:p>
    <w:p>
      <w:pPr>
        <w:spacing w:after="100"/>
        <w:ind w:left="720" w:hanging="360"/>
      </w:pPr>
      <w:r>
        <w:t xml:space="preserve">5.  </w:t>
      </w:r>
      <w:r>
        <w:t>Use the population montage and real-versus-generated plot to explain the 52-case SSM evidence.</w:t>
      </w:r>
    </w:p>
    <w:p>
      <w:pPr>
        <w:spacing w:after="100"/>
        <w:ind w:left="720" w:hanging="360"/>
      </w:pPr>
      <w:r>
        <w:t xml:space="preserve">6.  </w:t>
      </w:r>
      <w:r>
        <w:t>End with limitations: major-vessel LCA research scaffold, not a complete or clinically validated coronary model.</w:t>
      </w:r>
    </w:p>
    <w:p>
      <w:pPr>
        <w:pStyle w:val="Heading2"/>
        <w:pageBreakBefore/>
      </w:pPr>
      <w:r>
        <w:t>13.2 Suggested PPT slide structure</w:t>
      </w:r>
    </w:p>
    <w:tbl>
      <w:tblPr>
        <w:tblStyle w:val="TableGrid"/>
        <w:tblW w:type="dxa" w:w="9360"/>
        <w:tblLayout w:type="fixed"/>
        <w:tblLook w:firstColumn="1" w:firstRow="1" w:lastColumn="0" w:lastRow="0" w:noHBand="0" w:noVBand="1" w:val="04A0"/>
        <w:jc w:val="left"/>
        <w:tblInd w:w="0" w:type="dxa"/>
      </w:tblPr>
      <w:tblGrid>
        <w:gridCol w:w="900"/>
        <w:gridCol w:w="3550"/>
        <w:gridCol w:w="4910"/>
      </w:tblGrid>
      <w:tr>
        <w:trPr>
          <w:cantSplit/>
          <w:tblHeader w:val="true"/>
          <w:cantSplit/>
        </w:trPr>
        <w:tc>
          <w:tcPr>
            <w:tcW w:type="dxa" w:w="900"/>
            <w:tcMar>
              <w:top w:w="85" w:type="dxa"/>
              <w:start w:w="120" w:type="dxa"/>
              <w:bottom w:w="85" w:type="dxa"/>
              <w:end w:w="120" w:type="dxa"/>
            </w:tcMar>
            <w:vAlign w:val="center"/>
            <w:shd w:fill="EAF2FB"/>
          </w:tcPr>
          <w:p>
            <w:pPr>
              <w:jc w:val="center"/>
            </w:pPr>
            <w:r>
              <w:rPr>
                <w:b/>
                <w:sz w:val="17"/>
              </w:rPr>
              <w:t>Slide</w:t>
            </w:r>
          </w:p>
        </w:tc>
        <w:tc>
          <w:tcPr>
            <w:tcW w:type="dxa" w:w="3550"/>
            <w:tcMar>
              <w:top w:w="85" w:type="dxa"/>
              <w:start w:w="120" w:type="dxa"/>
              <w:bottom w:w="85" w:type="dxa"/>
              <w:end w:w="120" w:type="dxa"/>
            </w:tcMar>
            <w:vAlign w:val="center"/>
            <w:shd w:fill="EAF2FB"/>
          </w:tcPr>
          <w:p>
            <w:pPr>
              <w:jc w:val="center"/>
            </w:pPr>
            <w:r>
              <w:rPr>
                <w:b/>
                <w:sz w:val="17"/>
              </w:rPr>
              <w:t>Message</w:t>
            </w:r>
          </w:p>
        </w:tc>
        <w:tc>
          <w:tcPr>
            <w:tcW w:type="dxa" w:w="4910"/>
            <w:tcMar>
              <w:top w:w="85" w:type="dxa"/>
              <w:start w:w="120" w:type="dxa"/>
              <w:bottom w:w="85" w:type="dxa"/>
              <w:end w:w="120" w:type="dxa"/>
            </w:tcMar>
            <w:vAlign w:val="center"/>
            <w:shd w:fill="EAF2FB"/>
          </w:tcPr>
          <w:p>
            <w:pPr>
              <w:jc w:val="center"/>
            </w:pPr>
            <w:r>
              <w:rPr>
                <w:b/>
                <w:sz w:val="17"/>
              </w:rPr>
              <w:t>Recommended visual</w:t>
            </w:r>
          </w:p>
        </w:tc>
      </w:tr>
      <w:tr>
        <w:trPr>
          <w:cantSplit/>
        </w:trPr>
        <w:tc>
          <w:tcPr>
            <w:tcW w:type="dxa" w:w="900"/>
            <w:tcMar>
              <w:top w:w="85" w:type="dxa"/>
              <w:start w:w="120" w:type="dxa"/>
              <w:bottom w:w="85" w:type="dxa"/>
              <w:end w:w="120" w:type="dxa"/>
            </w:tcMar>
            <w:vAlign w:val="center"/>
          </w:tcPr>
          <w:p>
            <w:pPr>
              <w:jc w:val="left"/>
            </w:pPr>
            <w:r>
              <w:rPr>
                <w:sz w:val="17"/>
              </w:rPr>
              <w:t>1</w:t>
            </w:r>
          </w:p>
        </w:tc>
        <w:tc>
          <w:tcPr>
            <w:tcW w:type="dxa" w:w="3550"/>
            <w:tcMar>
              <w:top w:w="85" w:type="dxa"/>
              <w:start w:w="120" w:type="dxa"/>
              <w:bottom w:w="85" w:type="dxa"/>
              <w:end w:w="120" w:type="dxa"/>
            </w:tcMar>
            <w:vAlign w:val="center"/>
          </w:tcPr>
          <w:p>
            <w:pPr>
              <w:jc w:val="center"/>
            </w:pPr>
            <w:r>
              <w:rPr>
                <w:sz w:val="17"/>
              </w:rPr>
              <w:t>Problem and deliverable</w:t>
            </w:r>
          </w:p>
        </w:tc>
        <w:tc>
          <w:tcPr>
            <w:tcW w:type="dxa" w:w="4910"/>
            <w:tcMar>
              <w:top w:w="85" w:type="dxa"/>
              <w:start w:w="120" w:type="dxa"/>
              <w:bottom w:w="85" w:type="dxa"/>
              <w:end w:w="120" w:type="dxa"/>
            </w:tcMar>
            <w:vAlign w:val="center"/>
          </w:tcPr>
          <w:p>
            <w:pPr>
              <w:jc w:val="left"/>
            </w:pPr>
            <w:r>
              <w:rPr>
                <w:sz w:val="17"/>
              </w:rPr>
              <w:t>Title plus compact pipeline statement</w:t>
            </w:r>
          </w:p>
        </w:tc>
      </w:tr>
      <w:tr>
        <w:trPr>
          <w:cantSplit/>
        </w:trPr>
        <w:tc>
          <w:tcPr>
            <w:tcW w:type="dxa" w:w="900"/>
            <w:tcMar>
              <w:top w:w="85" w:type="dxa"/>
              <w:start w:w="120" w:type="dxa"/>
              <w:bottom w:w="85" w:type="dxa"/>
              <w:end w:w="120" w:type="dxa"/>
            </w:tcMar>
            <w:vAlign w:val="center"/>
          </w:tcPr>
          <w:p>
            <w:pPr>
              <w:jc w:val="left"/>
            </w:pPr>
            <w:r>
              <w:rPr>
                <w:sz w:val="17"/>
              </w:rPr>
              <w:t>2</w:t>
            </w:r>
          </w:p>
        </w:tc>
        <w:tc>
          <w:tcPr>
            <w:tcW w:type="dxa" w:w="3550"/>
            <w:tcMar>
              <w:top w:w="85" w:type="dxa"/>
              <w:start w:w="120" w:type="dxa"/>
              <w:bottom w:w="85" w:type="dxa"/>
              <w:end w:w="120" w:type="dxa"/>
            </w:tcMar>
            <w:vAlign w:val="center"/>
          </w:tcPr>
          <w:p>
            <w:pPr>
              <w:jc w:val="center"/>
            </w:pPr>
            <w:r>
              <w:rPr>
                <w:sz w:val="17"/>
              </w:rPr>
              <w:t>Data and anatomy gate</w:t>
            </w:r>
          </w:p>
        </w:tc>
        <w:tc>
          <w:tcPr>
            <w:tcW w:type="dxa" w:w="4910"/>
            <w:tcMar>
              <w:top w:w="85" w:type="dxa"/>
              <w:start w:w="120" w:type="dxa"/>
              <w:bottom w:w="85" w:type="dxa"/>
              <w:end w:w="120" w:type="dxa"/>
            </w:tcMar>
            <w:vAlign w:val="center"/>
          </w:tcPr>
          <w:p>
            <w:pPr>
              <w:jc w:val="left"/>
            </w:pPr>
            <w:r>
              <w:rPr>
                <w:sz w:val="17"/>
              </w:rPr>
              <w:t>200 -&gt; 191 -&gt; 181 -&gt; 65 -&gt; 52 funnel</w:t>
            </w:r>
          </w:p>
        </w:tc>
      </w:tr>
      <w:tr>
        <w:trPr>
          <w:cantSplit/>
        </w:trPr>
        <w:tc>
          <w:tcPr>
            <w:tcW w:type="dxa" w:w="900"/>
            <w:tcMar>
              <w:top w:w="85" w:type="dxa"/>
              <w:start w:w="120" w:type="dxa"/>
              <w:bottom w:w="85" w:type="dxa"/>
              <w:end w:w="120" w:type="dxa"/>
            </w:tcMar>
            <w:vAlign w:val="center"/>
          </w:tcPr>
          <w:p>
            <w:pPr>
              <w:jc w:val="left"/>
            </w:pPr>
            <w:r>
              <w:rPr>
                <w:sz w:val="17"/>
              </w:rPr>
              <w:t>3</w:t>
            </w:r>
          </w:p>
        </w:tc>
        <w:tc>
          <w:tcPr>
            <w:tcW w:type="dxa" w:w="3550"/>
            <w:tcMar>
              <w:top w:w="85" w:type="dxa"/>
              <w:start w:w="120" w:type="dxa"/>
              <w:bottom w:w="85" w:type="dxa"/>
              <w:end w:w="120" w:type="dxa"/>
            </w:tcMar>
            <w:vAlign w:val="center"/>
          </w:tcPr>
          <w:p>
            <w:pPr>
              <w:jc w:val="center"/>
            </w:pPr>
            <w:r>
              <w:rPr>
                <w:sz w:val="17"/>
              </w:rPr>
              <w:t>Common frame and SSM</w:t>
            </w:r>
          </w:p>
        </w:tc>
        <w:tc>
          <w:tcPr>
            <w:tcW w:type="dxa" w:w="4910"/>
            <w:tcMar>
              <w:top w:w="85" w:type="dxa"/>
              <w:start w:w="120" w:type="dxa"/>
              <w:bottom w:w="85" w:type="dxa"/>
              <w:end w:w="120" w:type="dxa"/>
            </w:tcMar>
            <w:vAlign w:val="center"/>
          </w:tcPr>
          <w:p>
            <w:pPr>
              <w:jc w:val="left"/>
            </w:pPr>
            <w:r>
              <w:rPr>
                <w:sz w:val="17"/>
              </w:rPr>
              <w:t>27-point representation and PCA modes</w:t>
            </w:r>
          </w:p>
        </w:tc>
      </w:tr>
      <w:tr>
        <w:trPr>
          <w:cantSplit/>
        </w:trPr>
        <w:tc>
          <w:tcPr>
            <w:tcW w:type="dxa" w:w="900"/>
            <w:tcMar>
              <w:top w:w="85" w:type="dxa"/>
              <w:start w:w="120" w:type="dxa"/>
              <w:bottom w:w="85" w:type="dxa"/>
              <w:end w:w="120" w:type="dxa"/>
            </w:tcMar>
            <w:vAlign w:val="center"/>
          </w:tcPr>
          <w:p>
            <w:pPr>
              <w:jc w:val="left"/>
            </w:pPr>
            <w:r>
              <w:rPr>
                <w:sz w:val="17"/>
              </w:rPr>
              <w:t>4</w:t>
            </w:r>
          </w:p>
        </w:tc>
        <w:tc>
          <w:tcPr>
            <w:tcW w:type="dxa" w:w="3550"/>
            <w:tcMar>
              <w:top w:w="85" w:type="dxa"/>
              <w:start w:w="120" w:type="dxa"/>
              <w:bottom w:w="85" w:type="dxa"/>
              <w:end w:w="120" w:type="dxa"/>
            </w:tcMar>
            <w:vAlign w:val="center"/>
          </w:tcPr>
          <w:p>
            <w:pPr>
              <w:jc w:val="center"/>
            </w:pPr>
            <w:r>
              <w:rPr>
                <w:sz w:val="17"/>
              </w:rPr>
              <w:t>Population validity</w:t>
            </w:r>
          </w:p>
        </w:tc>
        <w:tc>
          <w:tcPr>
            <w:tcW w:type="dxa" w:w="4910"/>
            <w:tcMar>
              <w:top w:w="85" w:type="dxa"/>
              <w:start w:w="120" w:type="dxa"/>
              <w:bottom w:w="85" w:type="dxa"/>
              <w:end w:w="120" w:type="dxa"/>
            </w:tcMar>
            <w:vAlign w:val="center"/>
          </w:tcPr>
          <w:p>
            <w:pPr>
              <w:jc w:val="left"/>
            </w:pPr>
            <w:r>
              <w:rPr>
                <w:sz w:val="17"/>
              </w:rPr>
              <w:t>52-tree montage and distribution comparison</w:t>
            </w:r>
          </w:p>
        </w:tc>
      </w:tr>
      <w:tr>
        <w:trPr>
          <w:cantSplit/>
        </w:trPr>
        <w:tc>
          <w:tcPr>
            <w:tcW w:type="dxa" w:w="900"/>
            <w:tcMar>
              <w:top w:w="85" w:type="dxa"/>
              <w:start w:w="120" w:type="dxa"/>
              <w:bottom w:w="85" w:type="dxa"/>
              <w:end w:w="120" w:type="dxa"/>
            </w:tcMar>
            <w:vAlign w:val="center"/>
          </w:tcPr>
          <w:p>
            <w:pPr>
              <w:jc w:val="left"/>
            </w:pPr>
            <w:r>
              <w:rPr>
                <w:sz w:val="17"/>
              </w:rPr>
              <w:t>5</w:t>
            </w:r>
          </w:p>
        </w:tc>
        <w:tc>
          <w:tcPr>
            <w:tcW w:type="dxa" w:w="3550"/>
            <w:tcMar>
              <w:top w:w="85" w:type="dxa"/>
              <w:start w:w="120" w:type="dxa"/>
              <w:bottom w:w="85" w:type="dxa"/>
              <w:end w:w="120" w:type="dxa"/>
            </w:tcMar>
            <w:vAlign w:val="center"/>
          </w:tcPr>
          <w:p>
            <w:pPr>
              <w:jc w:val="center"/>
            </w:pPr>
            <w:r>
              <w:rPr>
                <w:sz w:val="17"/>
              </w:rPr>
              <w:t>Disease model</w:t>
            </w:r>
          </w:p>
        </w:tc>
        <w:tc>
          <w:tcPr>
            <w:tcW w:type="dxa" w:w="4910"/>
            <w:tcMar>
              <w:top w:w="85" w:type="dxa"/>
              <w:start w:w="120" w:type="dxa"/>
              <w:bottom w:w="85" w:type="dxa"/>
              <w:end w:w="120" w:type="dxa"/>
            </w:tcMar>
            <w:vAlign w:val="center"/>
          </w:tcPr>
          <w:p>
            <w:pPr>
              <w:jc w:val="center"/>
            </w:pPr>
            <w:r>
              <w:rPr>
                <w:sz w:val="17"/>
              </w:rPr>
              <w:t>Four-case comparison</w:t>
            </w:r>
          </w:p>
        </w:tc>
      </w:tr>
      <w:tr>
        <w:trPr>
          <w:cantSplit/>
        </w:trPr>
        <w:tc>
          <w:tcPr>
            <w:tcW w:type="dxa" w:w="900"/>
            <w:tcMar>
              <w:top w:w="85" w:type="dxa"/>
              <w:start w:w="120" w:type="dxa"/>
              <w:bottom w:w="85" w:type="dxa"/>
              <w:end w:w="120" w:type="dxa"/>
            </w:tcMar>
            <w:vAlign w:val="center"/>
          </w:tcPr>
          <w:p>
            <w:pPr>
              <w:jc w:val="left"/>
            </w:pPr>
            <w:r>
              <w:rPr>
                <w:sz w:val="17"/>
              </w:rPr>
              <w:t>6</w:t>
            </w:r>
          </w:p>
        </w:tc>
        <w:tc>
          <w:tcPr>
            <w:tcW w:type="dxa" w:w="3550"/>
            <w:tcMar>
              <w:top w:w="85" w:type="dxa"/>
              <w:start w:w="120" w:type="dxa"/>
              <w:bottom w:w="85" w:type="dxa"/>
              <w:end w:w="120" w:type="dxa"/>
            </w:tcMar>
            <w:vAlign w:val="center"/>
          </w:tcPr>
          <w:p>
            <w:pPr>
              <w:jc w:val="center"/>
            </w:pPr>
            <w:r>
              <w:rPr>
                <w:sz w:val="17"/>
              </w:rPr>
              <w:t>4D motion and pulsatility</w:t>
            </w:r>
          </w:p>
        </w:tc>
        <w:tc>
          <w:tcPr>
            <w:tcW w:type="dxa" w:w="4910"/>
            <w:tcMar>
              <w:top w:w="85" w:type="dxa"/>
              <w:start w:w="120" w:type="dxa"/>
              <w:bottom w:w="85" w:type="dxa"/>
              <w:end w:w="120" w:type="dxa"/>
            </w:tcMar>
            <w:vAlign w:val="center"/>
          </w:tcPr>
          <w:p>
            <w:pPr>
              <w:jc w:val="left"/>
            </w:pPr>
            <w:r>
              <w:rPr>
                <w:sz w:val="17"/>
              </w:rPr>
              <w:t>Quantitative motion/pulsatility plot</w:t>
            </w:r>
          </w:p>
        </w:tc>
      </w:tr>
      <w:tr>
        <w:trPr>
          <w:cantSplit/>
        </w:trPr>
        <w:tc>
          <w:tcPr>
            <w:tcW w:type="dxa" w:w="900"/>
            <w:tcMar>
              <w:top w:w="85" w:type="dxa"/>
              <w:start w:w="120" w:type="dxa"/>
              <w:bottom w:w="85" w:type="dxa"/>
              <w:end w:w="120" w:type="dxa"/>
            </w:tcMar>
            <w:vAlign w:val="center"/>
          </w:tcPr>
          <w:p>
            <w:pPr>
              <w:jc w:val="left"/>
            </w:pPr>
            <w:r>
              <w:rPr>
                <w:sz w:val="17"/>
              </w:rPr>
              <w:t>7</w:t>
            </w:r>
          </w:p>
        </w:tc>
        <w:tc>
          <w:tcPr>
            <w:tcW w:type="dxa" w:w="3550"/>
            <w:tcMar>
              <w:top w:w="85" w:type="dxa"/>
              <w:start w:w="120" w:type="dxa"/>
              <w:bottom w:w="85" w:type="dxa"/>
              <w:end w:w="120" w:type="dxa"/>
            </w:tcMar>
            <w:vAlign w:val="center"/>
          </w:tcPr>
          <w:p>
            <w:pPr>
              <w:jc w:val="center"/>
            </w:pPr>
            <w:r>
              <w:rPr>
                <w:sz w:val="17"/>
              </w:rPr>
              <w:t>Interactive/ParaView workflow</w:t>
            </w:r>
          </w:p>
        </w:tc>
        <w:tc>
          <w:tcPr>
            <w:tcW w:type="dxa" w:w="4910"/>
            <w:tcMar>
              <w:top w:w="85" w:type="dxa"/>
              <w:start w:w="120" w:type="dxa"/>
              <w:bottom w:w="85" w:type="dxa"/>
              <w:end w:w="120" w:type="dxa"/>
            </w:tcMar>
            <w:vAlign w:val="center"/>
          </w:tcPr>
          <w:p>
            <w:pPr>
              <w:jc w:val="center"/>
            </w:pPr>
            <w:r>
              <w:rPr>
                <w:sz w:val="17"/>
              </w:rPr>
              <w:t>Dashboard and cine screenshot</w:t>
            </w:r>
          </w:p>
        </w:tc>
      </w:tr>
      <w:tr>
        <w:trPr>
          <w:cantSplit/>
        </w:trPr>
        <w:tc>
          <w:tcPr>
            <w:tcW w:type="dxa" w:w="900"/>
            <w:tcMar>
              <w:top w:w="85" w:type="dxa"/>
              <w:start w:w="120" w:type="dxa"/>
              <w:bottom w:w="85" w:type="dxa"/>
              <w:end w:w="120" w:type="dxa"/>
            </w:tcMar>
            <w:vAlign w:val="center"/>
          </w:tcPr>
          <w:p>
            <w:pPr>
              <w:jc w:val="left"/>
            </w:pPr>
            <w:r>
              <w:rPr>
                <w:sz w:val="17"/>
              </w:rPr>
              <w:t>8</w:t>
            </w:r>
          </w:p>
        </w:tc>
        <w:tc>
          <w:tcPr>
            <w:tcW w:type="dxa" w:w="3550"/>
            <w:tcMar>
              <w:top w:w="85" w:type="dxa"/>
              <w:start w:w="120" w:type="dxa"/>
              <w:bottom w:w="85" w:type="dxa"/>
              <w:end w:w="120" w:type="dxa"/>
            </w:tcMar>
            <w:vAlign w:val="center"/>
          </w:tcPr>
          <w:p>
            <w:pPr>
              <w:jc w:val="center"/>
            </w:pPr>
            <w:r>
              <w:rPr>
                <w:sz w:val="17"/>
              </w:rPr>
              <w:t>Verification</w:t>
            </w:r>
          </w:p>
        </w:tc>
        <w:tc>
          <w:tcPr>
            <w:tcW w:type="dxa" w:w="4910"/>
            <w:tcMar>
              <w:top w:w="85" w:type="dxa"/>
              <w:start w:w="120" w:type="dxa"/>
              <w:bottom w:w="85" w:type="dxa"/>
              <w:end w:w="120" w:type="dxa"/>
            </w:tcMar>
            <w:vAlign w:val="center"/>
          </w:tcPr>
          <w:p>
            <w:pPr>
              <w:jc w:val="left"/>
            </w:pPr>
            <w:r>
              <w:rPr>
                <w:sz w:val="17"/>
              </w:rPr>
              <w:t>92 tests, 50/50 comparisons, zero warnings</w:t>
            </w:r>
          </w:p>
        </w:tc>
      </w:tr>
      <w:tr>
        <w:trPr>
          <w:cantSplit/>
        </w:trPr>
        <w:tc>
          <w:tcPr>
            <w:tcW w:type="dxa" w:w="900"/>
            <w:tcMar>
              <w:top w:w="85" w:type="dxa"/>
              <w:start w:w="120" w:type="dxa"/>
              <w:bottom w:w="85" w:type="dxa"/>
              <w:end w:w="120" w:type="dxa"/>
            </w:tcMar>
            <w:vAlign w:val="center"/>
          </w:tcPr>
          <w:p>
            <w:pPr>
              <w:jc w:val="left"/>
            </w:pPr>
            <w:r>
              <w:rPr>
                <w:sz w:val="17"/>
              </w:rPr>
              <w:t>9</w:t>
            </w:r>
          </w:p>
        </w:tc>
        <w:tc>
          <w:tcPr>
            <w:tcW w:type="dxa" w:w="3550"/>
            <w:tcMar>
              <w:top w:w="85" w:type="dxa"/>
              <w:start w:w="120" w:type="dxa"/>
              <w:bottom w:w="85" w:type="dxa"/>
              <w:end w:w="120" w:type="dxa"/>
            </w:tcMar>
            <w:vAlign w:val="center"/>
          </w:tcPr>
          <w:p>
            <w:pPr>
              <w:jc w:val="center"/>
            </w:pPr>
            <w:r>
              <w:rPr>
                <w:sz w:val="17"/>
              </w:rPr>
              <w:t>Limitations and future work</w:t>
            </w:r>
          </w:p>
        </w:tc>
        <w:tc>
          <w:tcPr>
            <w:tcW w:type="dxa" w:w="4910"/>
            <w:tcMar>
              <w:top w:w="85" w:type="dxa"/>
              <w:start w:w="120" w:type="dxa"/>
              <w:bottom w:w="85" w:type="dxa"/>
              <w:end w:w="120" w:type="dxa"/>
            </w:tcMar>
            <w:vAlign w:val="center"/>
          </w:tcPr>
          <w:p>
            <w:pPr>
              <w:jc w:val="center"/>
            </w:pPr>
            <w:r>
              <w:rPr>
                <w:sz w:val="17"/>
              </w:rPr>
              <w:t>Honest scope boundary</w:t>
            </w:r>
          </w:p>
        </w:tc>
      </w:tr>
    </w:tbl>
    <w:p>
      <w:pPr>
        <w:spacing w:after="0"/>
      </w:pPr>
    </w:p>
    <w:p>
      <w:pPr>
        <w:pStyle w:val="Heading1"/>
        <w:pageBreakBefore/>
      </w:pPr>
      <w:r>
        <w:t>14. External anatomical sanity checks</w:t>
      </w:r>
    </w:p>
    <w:p>
      <w:r>
        <w:t>These comparisons are descriptive engineering sanity checks, not clinical acceptance limits. The repository-defined LMCA begins at a graph endpoint selected by local mask radius and ends at the selected major-daughter junction; it is not guaranteed to match a manually annotated clinical ostium-to-first-bifurcation segment. Diameter defaults and motion amplitude are parametric prototype settings, not distributions learned from the 52-case anatomical cohort.</w:t>
      </w:r>
    </w:p>
    <w:tbl>
      <w:tblPr>
        <w:tblStyle w:val="TableGrid"/>
        <w:tblW w:type="dxa" w:w="9360"/>
        <w:tblLayout w:type="fixed"/>
        <w:tblLook w:firstColumn="1" w:firstRow="1" w:lastColumn="0" w:lastRow="0" w:noHBand="0" w:noVBand="1" w:val="04A0"/>
        <w:jc w:val="left"/>
        <w:tblInd w:w="0" w:type="dxa"/>
      </w:tblPr>
      <w:tblGrid>
        <w:gridCol w:w="1900"/>
        <w:gridCol w:w="2800"/>
        <w:gridCol w:w="2800"/>
        <w:gridCol w:w="1860"/>
      </w:tblGrid>
      <w:tr>
        <w:trPr>
          <w:cantSplit/>
          <w:tblHeader w:val="true"/>
          <w:cantSplit/>
        </w:trPr>
        <w:tc>
          <w:tcPr>
            <w:tcW w:type="dxa" w:w="1900"/>
            <w:tcMar>
              <w:top w:w="85" w:type="dxa"/>
              <w:start w:w="120" w:type="dxa"/>
              <w:bottom w:w="85" w:type="dxa"/>
              <w:end w:w="120" w:type="dxa"/>
            </w:tcMar>
            <w:vAlign w:val="center"/>
            <w:shd w:fill="EAF2FB"/>
          </w:tcPr>
          <w:p>
            <w:pPr>
              <w:jc w:val="center"/>
            </w:pPr>
            <w:r>
              <w:rPr>
                <w:b/>
                <w:sz w:val="15"/>
              </w:rPr>
              <w:t>Metric</w:t>
            </w:r>
          </w:p>
        </w:tc>
        <w:tc>
          <w:tcPr>
            <w:tcW w:type="dxa" w:w="2800"/>
            <w:tcMar>
              <w:top w:w="85" w:type="dxa"/>
              <w:start w:w="120" w:type="dxa"/>
              <w:bottom w:w="85" w:type="dxa"/>
              <w:end w:w="120" w:type="dxa"/>
            </w:tcMar>
            <w:vAlign w:val="center"/>
            <w:shd w:fill="EAF2FB"/>
          </w:tcPr>
          <w:p>
            <w:pPr>
              <w:jc w:val="center"/>
            </w:pPr>
            <w:r>
              <w:rPr>
                <w:b/>
                <w:sz w:val="15"/>
              </w:rPr>
              <w:t>Project</w:t>
            </w:r>
          </w:p>
        </w:tc>
        <w:tc>
          <w:tcPr>
            <w:tcW w:type="dxa" w:w="2800"/>
            <w:tcMar>
              <w:top w:w="85" w:type="dxa"/>
              <w:start w:w="120" w:type="dxa"/>
              <w:bottom w:w="85" w:type="dxa"/>
              <w:end w:w="120" w:type="dxa"/>
            </w:tcMar>
            <w:vAlign w:val="center"/>
            <w:shd w:fill="EAF2FB"/>
          </w:tcPr>
          <w:p>
            <w:pPr>
              <w:jc w:val="center"/>
            </w:pPr>
            <w:r>
              <w:rPr>
                <w:b/>
                <w:sz w:val="15"/>
              </w:rPr>
              <w:t>Literature</w:t>
            </w:r>
          </w:p>
        </w:tc>
        <w:tc>
          <w:tcPr>
            <w:tcW w:type="dxa" w:w="1860"/>
            <w:tcMar>
              <w:top w:w="85" w:type="dxa"/>
              <w:start w:w="120" w:type="dxa"/>
              <w:bottom w:w="85" w:type="dxa"/>
              <w:end w:w="120" w:type="dxa"/>
            </w:tcMar>
            <w:vAlign w:val="center"/>
            <w:shd w:fill="EAF2FB"/>
          </w:tcPr>
          <w:p>
            <w:pPr>
              <w:jc w:val="center"/>
            </w:pPr>
            <w:r>
              <w:rPr>
                <w:b/>
                <w:sz w:val="15"/>
              </w:rPr>
              <w:t>Interpretation</w:t>
            </w:r>
          </w:p>
        </w:tc>
      </w:tr>
      <w:tr>
        <w:trPr>
          <w:cantSplit/>
        </w:trPr>
        <w:tc>
          <w:tcPr>
            <w:tcW w:type="dxa" w:w="1900"/>
            <w:tcMar>
              <w:top w:w="85" w:type="dxa"/>
              <w:start w:w="120" w:type="dxa"/>
              <w:bottom w:w="85" w:type="dxa"/>
              <w:end w:w="120" w:type="dxa"/>
            </w:tcMar>
            <w:vAlign w:val="center"/>
          </w:tcPr>
          <w:p>
            <w:pPr>
              <w:jc w:val="left"/>
            </w:pPr>
            <w:r>
              <w:rPr>
                <w:sz w:val="15"/>
              </w:rPr>
              <w:t>LMCA/proximal-LCA path</w:t>
            </w:r>
          </w:p>
        </w:tc>
        <w:tc>
          <w:tcPr>
            <w:tcW w:type="dxa" w:w="2800"/>
            <w:tcMar>
              <w:top w:w="85" w:type="dxa"/>
              <w:start w:w="120" w:type="dxa"/>
              <w:bottom w:w="85" w:type="dxa"/>
              <w:end w:w="120" w:type="dxa"/>
            </w:tcMar>
            <w:vAlign w:val="center"/>
          </w:tcPr>
          <w:p>
            <w:pPr>
              <w:jc w:val="left"/>
            </w:pPr>
            <w:r>
              <w:rPr>
                <w:sz w:val="15"/>
              </w:rPr>
              <w:t>mean 17.175; SD 15.047; range 4.489–72.655</w:t>
            </w:r>
          </w:p>
        </w:tc>
        <w:tc>
          <w:tcPr>
            <w:tcW w:type="dxa" w:w="2800"/>
            <w:tcMar>
              <w:top w:w="85" w:type="dxa"/>
              <w:start w:w="120" w:type="dxa"/>
              <w:bottom w:w="85" w:type="dxa"/>
              <w:end w:w="120" w:type="dxa"/>
            </w:tcMar>
            <w:vAlign w:val="center"/>
          </w:tcPr>
          <w:p>
            <w:pPr>
              <w:jc w:val="left"/>
            </w:pPr>
            <w:r>
              <w:rPr>
                <w:sz w:val="15"/>
              </w:rPr>
              <w:t>9.13 mm; 3.23 mm; range 2–19.5 mm (PMID 37829965)</w:t>
            </w:r>
          </w:p>
        </w:tc>
        <w:tc>
          <w:tcPr>
            <w:tcW w:type="dxa" w:w="1860"/>
            <w:tcMar>
              <w:top w:w="85" w:type="dxa"/>
              <w:start w:w="120" w:type="dxa"/>
              <w:bottom w:w="85" w:type="dxa"/>
              <w:end w:w="120" w:type="dxa"/>
            </w:tcMar>
            <w:vAlign w:val="center"/>
          </w:tcPr>
          <w:p>
            <w:pPr>
              <w:jc w:val="center"/>
            </w:pPr>
            <w:r>
              <w:rPr>
                <w:sz w:val="15"/>
              </w:rPr>
              <w:t>definition differs</w:t>
            </w:r>
          </w:p>
        </w:tc>
      </w:tr>
      <w:tr>
        <w:trPr>
          <w:cantSplit/>
        </w:trPr>
        <w:tc>
          <w:tcPr>
            <w:tcW w:type="dxa" w:w="1900"/>
            <w:tcMar>
              <w:top w:w="85" w:type="dxa"/>
              <w:start w:w="120" w:type="dxa"/>
              <w:bottom w:w="85" w:type="dxa"/>
              <w:end w:w="120" w:type="dxa"/>
            </w:tcMar>
            <w:vAlign w:val="center"/>
          </w:tcPr>
          <w:p>
            <w:pPr>
              <w:jc w:val="left"/>
            </w:pPr>
            <w:r>
              <w:rPr>
                <w:sz w:val="15"/>
              </w:rPr>
              <w:t>LAD length</w:t>
            </w:r>
          </w:p>
        </w:tc>
        <w:tc>
          <w:tcPr>
            <w:tcW w:type="dxa" w:w="2800"/>
            <w:tcMar>
              <w:top w:w="85" w:type="dxa"/>
              <w:start w:w="120" w:type="dxa"/>
              <w:bottom w:w="85" w:type="dxa"/>
              <w:end w:w="120" w:type="dxa"/>
            </w:tcMar>
            <w:vAlign w:val="center"/>
          </w:tcPr>
          <w:p>
            <w:pPr>
              <w:jc w:val="left"/>
            </w:pPr>
            <w:r>
              <w:rPr>
                <w:sz w:val="15"/>
              </w:rPr>
              <w:t>mean 120.824; SD 28.315; range 58.852–187.380</w:t>
            </w:r>
          </w:p>
        </w:tc>
        <w:tc>
          <w:tcPr>
            <w:tcW w:type="dxa" w:w="2800"/>
            <w:tcMar>
              <w:top w:w="85" w:type="dxa"/>
              <w:start w:w="120" w:type="dxa"/>
              <w:bottom w:w="85" w:type="dxa"/>
              <w:end w:w="120" w:type="dxa"/>
            </w:tcMar>
            <w:vAlign w:val="center"/>
          </w:tcPr>
          <w:p>
            <w:pPr>
              <w:jc w:val="left"/>
            </w:pPr>
            <w:r>
              <w:rPr>
                <w:sz w:val="15"/>
              </w:rPr>
              <w:t>109.46 mm; 14.49 mm; range 72.46–144.78 mm (PMID 37829965)</w:t>
            </w:r>
          </w:p>
        </w:tc>
        <w:tc>
          <w:tcPr>
            <w:tcW w:type="dxa" w:w="1860"/>
            <w:tcMar>
              <w:top w:w="85" w:type="dxa"/>
              <w:start w:w="120" w:type="dxa"/>
              <w:bottom w:w="85" w:type="dxa"/>
              <w:end w:w="120" w:type="dxa"/>
            </w:tcMar>
            <w:vAlign w:val="center"/>
          </w:tcPr>
          <w:p>
            <w:pPr>
              <w:jc w:val="center"/>
            </w:pPr>
            <w:r>
              <w:rPr>
                <w:sz w:val="15"/>
              </w:rPr>
              <w:t>broadly consistent</w:t>
            </w:r>
          </w:p>
        </w:tc>
      </w:tr>
      <w:tr>
        <w:trPr>
          <w:cantSplit/>
        </w:trPr>
        <w:tc>
          <w:tcPr>
            <w:tcW w:type="dxa" w:w="1900"/>
            <w:tcMar>
              <w:top w:w="85" w:type="dxa"/>
              <w:start w:w="120" w:type="dxa"/>
              <w:bottom w:w="85" w:type="dxa"/>
              <w:end w:w="120" w:type="dxa"/>
            </w:tcMar>
            <w:vAlign w:val="center"/>
          </w:tcPr>
          <w:p>
            <w:pPr>
              <w:jc w:val="left"/>
            </w:pPr>
            <w:r>
              <w:rPr>
                <w:sz w:val="15"/>
              </w:rPr>
              <w:t>LCX length</w:t>
            </w:r>
          </w:p>
        </w:tc>
        <w:tc>
          <w:tcPr>
            <w:tcW w:type="dxa" w:w="2800"/>
            <w:tcMar>
              <w:top w:w="85" w:type="dxa"/>
              <w:start w:w="120" w:type="dxa"/>
              <w:bottom w:w="85" w:type="dxa"/>
              <w:end w:w="120" w:type="dxa"/>
            </w:tcMar>
            <w:vAlign w:val="center"/>
          </w:tcPr>
          <w:p>
            <w:pPr>
              <w:jc w:val="left"/>
            </w:pPr>
            <w:r>
              <w:rPr>
                <w:sz w:val="15"/>
              </w:rPr>
              <w:t>mean 77.107; SD 23.522; range 39.571–129.387</w:t>
            </w:r>
          </w:p>
        </w:tc>
        <w:tc>
          <w:tcPr>
            <w:tcW w:type="dxa" w:w="2800"/>
            <w:tcMar>
              <w:top w:w="85" w:type="dxa"/>
              <w:start w:w="120" w:type="dxa"/>
              <w:bottom w:w="85" w:type="dxa"/>
              <w:end w:w="120" w:type="dxa"/>
            </w:tcMar>
            <w:vAlign w:val="center"/>
          </w:tcPr>
          <w:p>
            <w:pPr>
              <w:jc w:val="left"/>
            </w:pPr>
            <w:r>
              <w:rPr>
                <w:sz w:val="15"/>
              </w:rPr>
              <w:t>66.27 mm; 11.56 mm; range 40.7–107.66 mm (PMID 37829965)</w:t>
            </w:r>
          </w:p>
        </w:tc>
        <w:tc>
          <w:tcPr>
            <w:tcW w:type="dxa" w:w="1860"/>
            <w:tcMar>
              <w:top w:w="85" w:type="dxa"/>
              <w:start w:w="120" w:type="dxa"/>
              <w:bottom w:w="85" w:type="dxa"/>
              <w:end w:w="120" w:type="dxa"/>
            </w:tcMar>
            <w:vAlign w:val="center"/>
          </w:tcPr>
          <w:p>
            <w:pPr>
              <w:jc w:val="left"/>
            </w:pPr>
            <w:r>
              <w:rPr>
                <w:sz w:val="15"/>
              </w:rPr>
              <w:t>broader project range; endpoint/segmentation definition differs</w:t>
            </w:r>
          </w:p>
        </w:tc>
      </w:tr>
      <w:tr>
        <w:trPr>
          <w:cantSplit/>
        </w:trPr>
        <w:tc>
          <w:tcPr>
            <w:tcW w:type="dxa" w:w="1900"/>
            <w:tcMar>
              <w:top w:w="85" w:type="dxa"/>
              <w:start w:w="120" w:type="dxa"/>
              <w:bottom w:w="85" w:type="dxa"/>
              <w:end w:w="120" w:type="dxa"/>
            </w:tcMar>
            <w:vAlign w:val="center"/>
          </w:tcPr>
          <w:p>
            <w:pPr>
              <w:jc w:val="left"/>
            </w:pPr>
            <w:r>
              <w:rPr>
                <w:sz w:val="15"/>
              </w:rPr>
              <w:t>LAD-LCX angle</w:t>
            </w:r>
          </w:p>
        </w:tc>
        <w:tc>
          <w:tcPr>
            <w:tcW w:type="dxa" w:w="2800"/>
            <w:tcMar>
              <w:top w:w="85" w:type="dxa"/>
              <w:start w:w="120" w:type="dxa"/>
              <w:bottom w:w="85" w:type="dxa"/>
              <w:end w:w="120" w:type="dxa"/>
            </w:tcMar>
            <w:vAlign w:val="center"/>
          </w:tcPr>
          <w:p>
            <w:pPr>
              <w:jc w:val="left"/>
            </w:pPr>
            <w:r>
              <w:rPr>
                <w:sz w:val="15"/>
              </w:rPr>
              <w:t>mean 90.697; SD 24.730; range 50.416–172.914</w:t>
            </w:r>
          </w:p>
        </w:tc>
        <w:tc>
          <w:tcPr>
            <w:tcW w:type="dxa" w:w="2800"/>
            <w:tcMar>
              <w:top w:w="85" w:type="dxa"/>
              <w:start w:w="120" w:type="dxa"/>
              <w:bottom w:w="85" w:type="dxa"/>
              <w:end w:w="120" w:type="dxa"/>
            </w:tcMar>
            <w:vAlign w:val="center"/>
          </w:tcPr>
          <w:p>
            <w:pPr>
              <w:jc w:val="left"/>
            </w:pPr>
            <w:r>
              <w:rPr>
                <w:sz w:val="15"/>
              </w:rPr>
              <w:t>89.0 degrees; range 74.5–93 degrees; cadaver definition (PMID 36944018)</w:t>
            </w:r>
          </w:p>
        </w:tc>
        <w:tc>
          <w:tcPr>
            <w:tcW w:type="dxa" w:w="1860"/>
            <w:tcMar>
              <w:top w:w="85" w:type="dxa"/>
              <w:start w:w="120" w:type="dxa"/>
              <w:bottom w:w="85" w:type="dxa"/>
              <w:end w:w="120" w:type="dxa"/>
            </w:tcMar>
            <w:vAlign w:val="center"/>
          </w:tcPr>
          <w:p>
            <w:pPr>
              <w:jc w:val="center"/>
            </w:pPr>
            <w:r>
              <w:rPr>
                <w:sz w:val="15"/>
              </w:rPr>
              <w:t>definition differs</w:t>
            </w:r>
          </w:p>
        </w:tc>
      </w:tr>
      <w:tr>
        <w:trPr>
          <w:cantSplit/>
        </w:trPr>
        <w:tc>
          <w:tcPr>
            <w:tcW w:type="dxa" w:w="1900"/>
            <w:tcMar>
              <w:top w:w="85" w:type="dxa"/>
              <w:start w:w="120" w:type="dxa"/>
              <w:bottom w:w="85" w:type="dxa"/>
              <w:end w:w="120" w:type="dxa"/>
            </w:tcMar>
            <w:vAlign w:val="center"/>
          </w:tcPr>
          <w:p>
            <w:pPr>
              <w:jc w:val="left"/>
            </w:pPr>
            <w:r>
              <w:rPr>
                <w:sz w:val="15"/>
              </w:rPr>
              <w:t>LMCA proximal diameter</w:t>
            </w:r>
          </w:p>
        </w:tc>
        <w:tc>
          <w:tcPr>
            <w:tcW w:type="dxa" w:w="2800"/>
            <w:tcMar>
              <w:top w:w="85" w:type="dxa"/>
              <w:start w:w="120" w:type="dxa"/>
              <w:bottom w:w="85" w:type="dxa"/>
              <w:end w:w="120" w:type="dxa"/>
            </w:tcMar>
            <w:vAlign w:val="center"/>
          </w:tcPr>
          <w:p>
            <w:pPr>
              <w:jc w:val="left"/>
            </w:pPr>
            <w:r>
              <w:rPr>
                <w:sz w:val="15"/>
              </w:rPr>
              <w:t>parametric default = 4.0 mm; not a learned distribution</w:t>
            </w:r>
          </w:p>
        </w:tc>
        <w:tc>
          <w:tcPr>
            <w:tcW w:type="dxa" w:w="2800"/>
            <w:tcMar>
              <w:top w:w="85" w:type="dxa"/>
              <w:start w:w="120" w:type="dxa"/>
              <w:bottom w:w="85" w:type="dxa"/>
              <w:end w:w="120" w:type="dxa"/>
            </w:tcMar>
            <w:vAlign w:val="center"/>
          </w:tcPr>
          <w:p>
            <w:pPr>
              <w:jc w:val="left"/>
            </w:pPr>
            <w:r>
              <w:rPr>
                <w:sz w:val="15"/>
              </w:rPr>
              <w:t>4.38 mm; 0.58 mm (PMID 37829965)</w:t>
            </w:r>
          </w:p>
        </w:tc>
        <w:tc>
          <w:tcPr>
            <w:tcW w:type="dxa" w:w="1860"/>
            <w:tcMar>
              <w:top w:w="85" w:type="dxa"/>
              <w:start w:w="120" w:type="dxa"/>
              <w:bottom w:w="85" w:type="dxa"/>
              <w:end w:w="120" w:type="dxa"/>
            </w:tcMar>
            <w:vAlign w:val="center"/>
          </w:tcPr>
          <w:p>
            <w:pPr>
              <w:jc w:val="left"/>
            </w:pPr>
            <w:r>
              <w:rPr>
                <w:sz w:val="15"/>
              </w:rPr>
              <w:t>default is descriptively consistent</w:t>
            </w:r>
          </w:p>
        </w:tc>
      </w:tr>
      <w:tr>
        <w:trPr>
          <w:cantSplit/>
        </w:trPr>
        <w:tc>
          <w:tcPr>
            <w:tcW w:type="dxa" w:w="1900"/>
            <w:tcMar>
              <w:top w:w="85" w:type="dxa"/>
              <w:start w:w="120" w:type="dxa"/>
              <w:bottom w:w="85" w:type="dxa"/>
              <w:end w:w="120" w:type="dxa"/>
            </w:tcMar>
            <w:vAlign w:val="center"/>
          </w:tcPr>
          <w:p>
            <w:pPr>
              <w:jc w:val="left"/>
            </w:pPr>
            <w:r>
              <w:rPr>
                <w:sz w:val="15"/>
              </w:rPr>
              <w:t>LAD proximal diameter</w:t>
            </w:r>
          </w:p>
        </w:tc>
        <w:tc>
          <w:tcPr>
            <w:tcW w:type="dxa" w:w="2800"/>
            <w:tcMar>
              <w:top w:w="85" w:type="dxa"/>
              <w:start w:w="120" w:type="dxa"/>
              <w:bottom w:w="85" w:type="dxa"/>
              <w:end w:w="120" w:type="dxa"/>
            </w:tcMar>
            <w:vAlign w:val="center"/>
          </w:tcPr>
          <w:p>
            <w:pPr>
              <w:jc w:val="left"/>
            </w:pPr>
            <w:r>
              <w:rPr>
                <w:sz w:val="15"/>
              </w:rPr>
              <w:t>parametric default = 2.6 mm; not a learned distribution</w:t>
            </w:r>
          </w:p>
        </w:tc>
        <w:tc>
          <w:tcPr>
            <w:tcW w:type="dxa" w:w="2800"/>
            <w:tcMar>
              <w:top w:w="85" w:type="dxa"/>
              <w:start w:w="120" w:type="dxa"/>
              <w:bottom w:w="85" w:type="dxa"/>
              <w:end w:w="120" w:type="dxa"/>
            </w:tcMar>
            <w:vAlign w:val="center"/>
          </w:tcPr>
          <w:p>
            <w:pPr>
              <w:jc w:val="left"/>
            </w:pPr>
            <w:r>
              <w:rPr>
                <w:sz w:val="15"/>
              </w:rPr>
              <w:t>2.62 mm; 0.50 mm (PMID 37829965)</w:t>
            </w:r>
          </w:p>
        </w:tc>
        <w:tc>
          <w:tcPr>
            <w:tcW w:type="dxa" w:w="1860"/>
            <w:tcMar>
              <w:top w:w="85" w:type="dxa"/>
              <w:start w:w="120" w:type="dxa"/>
              <w:bottom w:w="85" w:type="dxa"/>
              <w:end w:w="120" w:type="dxa"/>
            </w:tcMar>
            <w:vAlign w:val="center"/>
          </w:tcPr>
          <w:p>
            <w:pPr>
              <w:jc w:val="left"/>
            </w:pPr>
            <w:r>
              <w:rPr>
                <w:sz w:val="15"/>
              </w:rPr>
              <w:t>default is descriptively consistent</w:t>
            </w:r>
          </w:p>
        </w:tc>
      </w:tr>
      <w:tr>
        <w:trPr>
          <w:cantSplit/>
        </w:trPr>
        <w:tc>
          <w:tcPr>
            <w:tcW w:type="dxa" w:w="1900"/>
            <w:tcMar>
              <w:top w:w="85" w:type="dxa"/>
              <w:start w:w="120" w:type="dxa"/>
              <w:bottom w:w="85" w:type="dxa"/>
              <w:end w:w="120" w:type="dxa"/>
            </w:tcMar>
            <w:vAlign w:val="center"/>
          </w:tcPr>
          <w:p>
            <w:pPr>
              <w:jc w:val="left"/>
            </w:pPr>
            <w:r>
              <w:rPr>
                <w:sz w:val="15"/>
              </w:rPr>
              <w:t>LCX proximal diameter</w:t>
            </w:r>
          </w:p>
        </w:tc>
        <w:tc>
          <w:tcPr>
            <w:tcW w:type="dxa" w:w="2800"/>
            <w:tcMar>
              <w:top w:w="85" w:type="dxa"/>
              <w:start w:w="120" w:type="dxa"/>
              <w:bottom w:w="85" w:type="dxa"/>
              <w:end w:w="120" w:type="dxa"/>
            </w:tcMar>
            <w:vAlign w:val="center"/>
          </w:tcPr>
          <w:p>
            <w:pPr>
              <w:jc w:val="left"/>
            </w:pPr>
            <w:r>
              <w:rPr>
                <w:sz w:val="15"/>
              </w:rPr>
              <w:t>parametric default = 2.4 mm; not a learned distribution</w:t>
            </w:r>
          </w:p>
        </w:tc>
        <w:tc>
          <w:tcPr>
            <w:tcW w:type="dxa" w:w="2800"/>
            <w:tcMar>
              <w:top w:w="85" w:type="dxa"/>
              <w:start w:w="120" w:type="dxa"/>
              <w:bottom w:w="85" w:type="dxa"/>
              <w:end w:w="120" w:type="dxa"/>
            </w:tcMar>
            <w:vAlign w:val="center"/>
          </w:tcPr>
          <w:p>
            <w:pPr>
              <w:jc w:val="left"/>
            </w:pPr>
            <w:r>
              <w:rPr>
                <w:sz w:val="15"/>
              </w:rPr>
              <w:t>2.41 mm; 0.43 mm (PMID 37829965)</w:t>
            </w:r>
          </w:p>
        </w:tc>
        <w:tc>
          <w:tcPr>
            <w:tcW w:type="dxa" w:w="1860"/>
            <w:tcMar>
              <w:top w:w="85" w:type="dxa"/>
              <w:start w:w="120" w:type="dxa"/>
              <w:bottom w:w="85" w:type="dxa"/>
              <w:end w:w="120" w:type="dxa"/>
            </w:tcMar>
            <w:vAlign w:val="center"/>
          </w:tcPr>
          <w:p>
            <w:pPr>
              <w:jc w:val="left"/>
            </w:pPr>
            <w:r>
              <w:rPr>
                <w:sz w:val="15"/>
              </w:rPr>
              <w:t>default is descriptively consistent</w:t>
            </w:r>
          </w:p>
        </w:tc>
      </w:tr>
      <w:tr>
        <w:trPr>
          <w:cantSplit/>
        </w:trPr>
        <w:tc>
          <w:tcPr>
            <w:tcW w:type="dxa" w:w="1900"/>
            <w:tcMar>
              <w:top w:w="85" w:type="dxa"/>
              <w:start w:w="120" w:type="dxa"/>
              <w:bottom w:w="85" w:type="dxa"/>
              <w:end w:w="120" w:type="dxa"/>
            </w:tcMar>
            <w:vAlign w:val="center"/>
          </w:tcPr>
          <w:p>
            <w:pPr>
              <w:jc w:val="left"/>
            </w:pPr>
            <w:r>
              <w:rPr>
                <w:sz w:val="15"/>
              </w:rPr>
              <w:t>Representative generated LCA maximum displacement</w:t>
            </w:r>
          </w:p>
        </w:tc>
        <w:tc>
          <w:tcPr>
            <w:tcW w:type="dxa" w:w="2800"/>
            <w:tcMar>
              <w:top w:w="85" w:type="dxa"/>
              <w:start w:w="120" w:type="dxa"/>
              <w:bottom w:w="85" w:type="dxa"/>
              <w:end w:w="120" w:type="dxa"/>
            </w:tcMar>
            <w:vAlign w:val="center"/>
          </w:tcPr>
          <w:p>
            <w:pPr>
              <w:jc w:val="left"/>
            </w:pPr>
            <w:r>
              <w:rPr>
                <w:sz w:val="15"/>
              </w:rPr>
              <w:t>7.810 mm maximum for the validated representative case; not cohort-derived</w:t>
            </w:r>
          </w:p>
        </w:tc>
        <w:tc>
          <w:tcPr>
            <w:tcW w:type="dxa" w:w="2800"/>
            <w:tcMar>
              <w:top w:w="85" w:type="dxa"/>
              <w:start w:w="120" w:type="dxa"/>
              <w:bottom w:w="85" w:type="dxa"/>
              <w:end w:w="120" w:type="dxa"/>
            </w:tcMar>
            <w:vAlign w:val="center"/>
          </w:tcPr>
          <w:p>
            <w:pPr>
              <w:jc w:val="left"/>
            </w:pPr>
            <w:r>
              <w:rPr>
                <w:sz w:val="15"/>
              </w:rPr>
              <w:t>2.8–6.6 mm by axis; substructure/landmark dependent (PMID 24098082)</w:t>
            </w:r>
          </w:p>
        </w:tc>
        <w:tc>
          <w:tcPr>
            <w:tcW w:type="dxa" w:w="1860"/>
            <w:tcMar>
              <w:top w:w="85" w:type="dxa"/>
              <w:start w:w="120" w:type="dxa"/>
              <w:bottom w:w="85" w:type="dxa"/>
              <w:end w:w="120" w:type="dxa"/>
            </w:tcMar>
            <w:vAlign w:val="center"/>
          </w:tcPr>
          <w:p>
            <w:pPr>
              <w:jc w:val="left"/>
            </w:pPr>
            <w:r>
              <w:rPr>
                <w:sz w:val="15"/>
              </w:rPr>
              <w:t>within broadly consistent literature-scale motion</w:t>
            </w:r>
          </w:p>
        </w:tc>
      </w:tr>
    </w:tbl>
    <w:p>
      <w:pPr>
        <w:spacing w:after="0"/>
      </w:pPr>
    </w:p>
    <w:p>
      <w:r>
        <w:t>Independent post-export coordinate audit: 52/52 pass the production coordinate role/topology/clearance gate with zero validator mismatch. 35/52 also pass every stricter absolute/descriptive apex-reach check. The latter are reported transparently and are not the production acceptance predicate.</w:t>
      </w:r>
    </w:p>
    <w:p>
      <w:pPr>
        <w:keepNext/>
        <w:jc w:val="center"/>
      </w:pPr>
      <w:r>
        <w:drawing>
          <wp:inline xmlns:a="http://schemas.openxmlformats.org/drawingml/2006/main" xmlns:pic="http://schemas.openxmlformats.org/drawingml/2006/picture">
            <wp:extent cx="5852160" cy="1827708"/>
            <wp:docPr id="15" name="Picture 15" title="Uniform 1 mm arc-length curvature comparison. P95/P99 are descriptive cohort evidence; no arbitrary clinical curvature limit is imposed." descr="Uniform 1 mm arc-length curvature comparison. P95/P99 are descriptive cohort evidence; no arbitrary clinical curvature limit is imposed."/>
            <wp:cNvGraphicFramePr>
              <a:graphicFrameLocks noChangeAspect="1"/>
            </wp:cNvGraphicFramePr>
            <a:graphic>
              <a:graphicData uri="http://schemas.openxmlformats.org/drawingml/2006/picture">
                <pic:pic>
                  <pic:nvPicPr>
                    <pic:cNvPr id="0" name="real_vs_generated_curvature.png"/>
                    <pic:cNvPicPr/>
                  </pic:nvPicPr>
                  <pic:blipFill>
                    <a:blip r:embed="rId25"/>
                    <a:stretch>
                      <a:fillRect/>
                    </a:stretch>
                  </pic:blipFill>
                  <pic:spPr>
                    <a:xfrm>
                      <a:off x="0" y="0"/>
                      <a:ext cx="5852160" cy="1827708"/>
                    </a:xfrm>
                    <a:prstGeom prst="rect"/>
                  </pic:spPr>
                </pic:pic>
              </a:graphicData>
            </a:graphic>
          </wp:inline>
        </w:drawing>
      </w:r>
    </w:p>
    <w:p>
      <w:pPr>
        <w:pStyle w:val="Caption"/>
        <w:keepNext w:val="0"/>
        <w:jc w:val="center"/>
      </w:pPr>
      <w:r>
        <w:rPr>
          <w:i/>
        </w:rPr>
        <w:t>Uniform 1 mm arc-length curvature comparison. P95/P99 are descriptive cohort evidence; no arbitrary clinical curvature limit is imposed.</w:t>
      </w:r>
    </w:p>
    <w:p>
      <w:pPr>
        <w:pStyle w:val="Heading1"/>
        <w:pageBreakBefore/>
      </w:pPr>
      <w:r>
        <w:t>15. Primary literature context</w:t>
      </w:r>
    </w:p>
    <w:p>
      <w:r>
        <w:t>Literature values are descriptive external sanity checks. Differences in modality, population, vessel endpoint definition, phase, and measurement method prevent treating them as interchangeable clinical limits.</w:t>
      </w:r>
    </w:p>
    <w:p>
      <w:pPr>
        <w:spacing w:after="100"/>
        <w:ind w:left="720" w:hanging="360"/>
      </w:pPr>
      <w:r>
        <w:t xml:space="preserve">1.  </w:t>
      </w:r>
      <w:r/>
      <w:r>
        <w:t xml:space="preserve">Manpoong et al., Detailed Morphometric Analysis on Left Coronary Artery in the Population of North-East India, 2023. </w:t>
      </w:r>
      <w:hyperlink r:id="rId26">
        <w:r>
          <w:rPr>
            <w:color w:val="1A73E8"/>
            <w:u w:val="single"/>
          </w:rPr>
          <w:t>PubMed record PMID 37829965</w:t>
        </w:r>
      </w:hyperlink>
      <w:r>
        <w:t xml:space="preserve"> Topic: human LCA length and diameter morphometry.</w:t>
      </w:r>
    </w:p>
    <w:p>
      <w:pPr>
        <w:spacing w:after="100"/>
        <w:ind w:left="720" w:hanging="360"/>
      </w:pPr>
      <w:r>
        <w:t xml:space="preserve">2.  </w:t>
      </w:r>
      <w:r/>
      <w:r>
        <w:t xml:space="preserve">Lujinovic et al., Morphometric analysis of clinically significant parameters of the main trunk of the left coronary artery, 2023. </w:t>
      </w:r>
      <w:hyperlink r:id="rId27">
        <w:r>
          <w:rPr>
            <w:color w:val="1A73E8"/>
            <w:u w:val="single"/>
          </w:rPr>
          <w:t>PubMed record PMID 36944018</w:t>
        </w:r>
      </w:hyperlink>
      <w:r>
        <w:t xml:space="preserve"> Topic: left-main bifurcation anatomy.</w:t>
      </w:r>
    </w:p>
    <w:p>
      <w:pPr>
        <w:spacing w:after="100"/>
        <w:ind w:left="720" w:hanging="360"/>
      </w:pPr>
      <w:r>
        <w:t xml:space="preserve">3.  </w:t>
      </w:r>
      <w:r/>
      <w:r>
        <w:t xml:space="preserve">Pflederer et al., Measurement of coronary artery bifurcation angles by multidetector computed tomography, 2006. </w:t>
      </w:r>
      <w:hyperlink r:id="rId28">
        <w:r>
          <w:rPr>
            <w:color w:val="1A73E8"/>
            <w:u w:val="single"/>
          </w:rPr>
          <w:t>PubMed record PMID 17035869</w:t>
        </w:r>
      </w:hyperlink>
      <w:r>
        <w:t xml:space="preserve"> Topic: 3D coronary bifurcation angles.</w:t>
      </w:r>
    </w:p>
    <w:p>
      <w:pPr>
        <w:spacing w:after="100"/>
        <w:ind w:left="720" w:hanging="360"/>
      </w:pPr>
      <w:r>
        <w:t xml:space="preserve">4.  </w:t>
      </w:r>
      <w:r/>
      <w:r>
        <w:t xml:space="preserve">Paul et al., A milestone in prediction of the coronary artery dimensions, 2019. </w:t>
      </w:r>
      <w:hyperlink r:id="rId29">
        <w:r>
          <w:rPr>
            <w:color w:val="1A73E8"/>
            <w:u w:val="single"/>
          </w:rPr>
          <w:t>PubMed record PMID 31779861</w:t>
        </w:r>
      </w:hyperlink>
      <w:r>
        <w:t xml:space="preserve"> Topic: normal coronary diameters.</w:t>
      </w:r>
    </w:p>
    <w:p>
      <w:pPr>
        <w:spacing w:after="100"/>
        <w:ind w:left="720" w:hanging="360"/>
      </w:pPr>
      <w:r>
        <w:t xml:space="preserve">5.  </w:t>
      </w:r>
      <w:r/>
      <w:r>
        <w:t xml:space="preserve">Tan et al., Estimation of the displacement of cardiac substructures and the motion of the coronary arteries using ECG gating, 2013. </w:t>
      </w:r>
      <w:hyperlink r:id="rId30">
        <w:r>
          <w:rPr>
            <w:color w:val="1A73E8"/>
            <w:u w:val="single"/>
          </w:rPr>
          <w:t>PubMed record PMID 24098082</w:t>
        </w:r>
      </w:hyperlink>
      <w:r>
        <w:t xml:space="preserve"> Topic: coronary displacement over the cardiac cycle.</w:t>
      </w:r>
    </w:p>
    <w:p>
      <w:pPr>
        <w:spacing w:after="100"/>
        <w:ind w:left="720" w:hanging="360"/>
      </w:pPr>
      <w:r>
        <w:t xml:space="preserve">6.  </w:t>
      </w:r>
      <w:r/>
      <w:r>
        <w:t xml:space="preserve">Ge et al., Intravascular ultrasound imaging of angiographically normal coronary arteries, 1994. </w:t>
      </w:r>
      <w:hyperlink r:id="rId31">
        <w:r>
          <w:rPr>
            <w:color w:val="1A73E8"/>
            <w:u w:val="single"/>
          </w:rPr>
          <w:t>PubMed record PMID 8043342</w:t>
        </w:r>
      </w:hyperlink>
      <w:r>
        <w:t xml:space="preserve"> Topic: normal and plaque-segment cyclic lumen-area change.</w:t>
      </w:r>
    </w:p>
    <w:p>
      <w:pPr>
        <w:spacing w:after="100"/>
        <w:ind w:left="720" w:hanging="360"/>
      </w:pPr>
      <w:r>
        <w:t xml:space="preserve">7.  </w:t>
      </w:r>
      <w:r/>
      <w:r>
        <w:t xml:space="preserve">Nakatani et al., Assessment of coronary artery distensibility by intravascular ultrasound, 1995. </w:t>
      </w:r>
      <w:hyperlink r:id="rId32">
        <w:r>
          <w:rPr>
            <w:color w:val="1A73E8"/>
            <w:u w:val="single"/>
          </w:rPr>
          <w:t>PubMed record PMID 7796499</w:t>
        </w:r>
      </w:hyperlink>
      <w:r>
        <w:t xml:space="preserve"> Topic: coronary distensibility and plaque.</w:t>
      </w:r>
    </w:p>
    <w:p>
      <w:pPr>
        <w:spacing w:after="100"/>
        <w:ind w:left="720" w:hanging="360"/>
      </w:pPr>
      <w:r>
        <w:t xml:space="preserve">8.  </w:t>
      </w:r>
      <w:r/>
      <w:r>
        <w:t xml:space="preserve">Numao et al., Pulsatile diameter change of coronary artery lumen estimated by IVUS, 1997. </w:t>
      </w:r>
      <w:hyperlink r:id="rId33">
        <w:r>
          <w:rPr>
            <w:color w:val="1A73E8"/>
            <w:u w:val="single"/>
          </w:rPr>
          <w:t>PubMed record PMID 9253689</w:t>
        </w:r>
      </w:hyperlink>
      <w:r>
        <w:t xml:space="preserve"> Topic: reduced diameter pulsatility in CAD.</w:t>
      </w:r>
    </w:p>
    <w:p>
      <w:pPr>
        <w:pStyle w:val="Heading1"/>
        <w:pageBreakBefore/>
      </w:pPr>
      <w:r>
        <w:t>Appendix A. Metric definitions</w:t>
      </w:r>
    </w:p>
    <w:tbl>
      <w:tblPr>
        <w:tblStyle w:val="TableGrid"/>
        <w:tblW w:type="dxa" w:w="9360"/>
        <w:tblLayout w:type="fixed"/>
        <w:tblLook w:firstColumn="1" w:firstRow="1" w:lastColumn="0" w:lastRow="0" w:noHBand="0" w:noVBand="1" w:val="04A0"/>
        <w:jc w:val="left"/>
        <w:tblInd w:w="0" w:type="dxa"/>
      </w:tblPr>
      <w:tblGrid>
        <w:gridCol w:w="2750"/>
        <w:gridCol w:w="6610"/>
      </w:tblGrid>
      <w:tr>
        <w:trPr>
          <w:cantSplit/>
          <w:tblHeader w:val="true"/>
          <w:cantSplit/>
        </w:trPr>
        <w:tc>
          <w:tcPr>
            <w:tcW w:type="dxa" w:w="2750"/>
            <w:tcMar>
              <w:top w:w="85" w:type="dxa"/>
              <w:start w:w="120" w:type="dxa"/>
              <w:bottom w:w="85" w:type="dxa"/>
              <w:end w:w="120" w:type="dxa"/>
            </w:tcMar>
            <w:vAlign w:val="center"/>
            <w:shd w:fill="EAF2FB"/>
          </w:tcPr>
          <w:p>
            <w:pPr>
              <w:jc w:val="center"/>
            </w:pPr>
            <w:r>
              <w:rPr>
                <w:b/>
                <w:sz w:val="17"/>
              </w:rPr>
              <w:t>Metric</w:t>
            </w:r>
          </w:p>
        </w:tc>
        <w:tc>
          <w:tcPr>
            <w:tcW w:type="dxa" w:w="6610"/>
            <w:tcMar>
              <w:top w:w="85" w:type="dxa"/>
              <w:start w:w="120" w:type="dxa"/>
              <w:bottom w:w="85" w:type="dxa"/>
              <w:end w:w="120" w:type="dxa"/>
            </w:tcMar>
            <w:vAlign w:val="center"/>
            <w:shd w:fill="EAF2FB"/>
          </w:tcPr>
          <w:p>
            <w:pPr>
              <w:jc w:val="center"/>
            </w:pPr>
            <w:r>
              <w:rPr>
                <w:b/>
                <w:sz w:val="17"/>
              </w:rPr>
              <w:t>Definition and interpretation</w:t>
            </w:r>
          </w:p>
        </w:tc>
      </w:tr>
      <w:tr>
        <w:trPr>
          <w:cantSplit/>
        </w:trPr>
        <w:tc>
          <w:tcPr>
            <w:tcW w:type="dxa" w:w="2750"/>
            <w:tcMar>
              <w:top w:w="85" w:type="dxa"/>
              <w:start w:w="120" w:type="dxa"/>
              <w:bottom w:w="85" w:type="dxa"/>
              <w:end w:w="120" w:type="dxa"/>
            </w:tcMar>
            <w:vAlign w:val="center"/>
          </w:tcPr>
          <w:p>
            <w:pPr>
              <w:jc w:val="left"/>
            </w:pPr>
            <w:r>
              <w:rPr>
                <w:sz w:val="17"/>
              </w:rPr>
              <w:t>Arc length</w:t>
            </w:r>
          </w:p>
        </w:tc>
        <w:tc>
          <w:tcPr>
            <w:tcW w:type="dxa" w:w="6610"/>
            <w:tcMar>
              <w:top w:w="85" w:type="dxa"/>
              <w:start w:w="120" w:type="dxa"/>
              <w:bottom w:w="85" w:type="dxa"/>
              <w:end w:w="120" w:type="dxa"/>
            </w:tcMar>
            <w:vAlign w:val="center"/>
          </w:tcPr>
          <w:p>
            <w:pPr>
              <w:jc w:val="left"/>
            </w:pPr>
            <w:r>
              <w:rPr>
                <w:sz w:val="17"/>
              </w:rPr>
              <w:t>Sum of Euclidean distances between consecutive centerline samples.</w:t>
            </w:r>
          </w:p>
        </w:tc>
      </w:tr>
      <w:tr>
        <w:trPr>
          <w:cantSplit/>
        </w:trPr>
        <w:tc>
          <w:tcPr>
            <w:tcW w:type="dxa" w:w="2750"/>
            <w:tcMar>
              <w:top w:w="85" w:type="dxa"/>
              <w:start w:w="120" w:type="dxa"/>
              <w:bottom w:w="85" w:type="dxa"/>
              <w:end w:w="120" w:type="dxa"/>
            </w:tcMar>
            <w:vAlign w:val="center"/>
          </w:tcPr>
          <w:p>
            <w:pPr>
              <w:jc w:val="left"/>
            </w:pPr>
            <w:r>
              <w:rPr>
                <w:sz w:val="17"/>
              </w:rPr>
              <w:t>Chord</w:t>
            </w:r>
          </w:p>
        </w:tc>
        <w:tc>
          <w:tcPr>
            <w:tcW w:type="dxa" w:w="6610"/>
            <w:tcMar>
              <w:top w:w="85" w:type="dxa"/>
              <w:start w:w="120" w:type="dxa"/>
              <w:bottom w:w="85" w:type="dxa"/>
              <w:end w:w="120" w:type="dxa"/>
            </w:tcMar>
            <w:vAlign w:val="center"/>
          </w:tcPr>
          <w:p>
            <w:pPr>
              <w:jc w:val="left"/>
            </w:pPr>
            <w:r>
              <w:rPr>
                <w:sz w:val="17"/>
              </w:rPr>
              <w:t>Euclidean distance between branch endpoints.</w:t>
            </w:r>
          </w:p>
        </w:tc>
      </w:tr>
      <w:tr>
        <w:trPr>
          <w:cantSplit/>
        </w:trPr>
        <w:tc>
          <w:tcPr>
            <w:tcW w:type="dxa" w:w="2750"/>
            <w:tcMar>
              <w:top w:w="85" w:type="dxa"/>
              <w:start w:w="120" w:type="dxa"/>
              <w:bottom w:w="85" w:type="dxa"/>
              <w:end w:w="120" w:type="dxa"/>
            </w:tcMar>
            <w:vAlign w:val="center"/>
          </w:tcPr>
          <w:p>
            <w:pPr>
              <w:jc w:val="left"/>
            </w:pPr>
            <w:r>
              <w:rPr>
                <w:sz w:val="17"/>
              </w:rPr>
              <w:t>Distance-metric tortuosity</w:t>
            </w:r>
          </w:p>
        </w:tc>
        <w:tc>
          <w:tcPr>
            <w:tcW w:type="dxa" w:w="6610"/>
            <w:tcMar>
              <w:top w:w="85" w:type="dxa"/>
              <w:start w:w="120" w:type="dxa"/>
              <w:bottom w:w="85" w:type="dxa"/>
              <w:end w:w="120" w:type="dxa"/>
            </w:tcMar>
            <w:vAlign w:val="center"/>
          </w:tcPr>
          <w:p>
            <w:pPr>
              <w:jc w:val="left"/>
            </w:pPr>
            <w:r>
              <w:rPr>
                <w:sz w:val="17"/>
              </w:rPr>
              <w:t>Arc length divided by chord; 1 is straight and larger values indicate a longer path relative to endpoint separation.</w:t>
            </w:r>
          </w:p>
        </w:tc>
      </w:tr>
      <w:tr>
        <w:trPr>
          <w:cantSplit/>
        </w:trPr>
        <w:tc>
          <w:tcPr>
            <w:tcW w:type="dxa" w:w="2750"/>
            <w:tcMar>
              <w:top w:w="85" w:type="dxa"/>
              <w:start w:w="120" w:type="dxa"/>
              <w:bottom w:w="85" w:type="dxa"/>
              <w:end w:w="120" w:type="dxa"/>
            </w:tcMar>
            <w:vAlign w:val="center"/>
          </w:tcPr>
          <w:p>
            <w:pPr>
              <w:jc w:val="left"/>
            </w:pPr>
            <w:r>
              <w:rPr>
                <w:sz w:val="17"/>
              </w:rPr>
              <w:t>Total turning angle</w:t>
            </w:r>
          </w:p>
        </w:tc>
        <w:tc>
          <w:tcPr>
            <w:tcW w:type="dxa" w:w="6610"/>
            <w:tcMar>
              <w:top w:w="85" w:type="dxa"/>
              <w:start w:w="120" w:type="dxa"/>
              <w:bottom w:w="85" w:type="dxa"/>
              <w:end w:w="120" w:type="dxa"/>
            </w:tcMar>
            <w:vAlign w:val="center"/>
          </w:tcPr>
          <w:p>
            <w:pPr>
              <w:jc w:val="left"/>
            </w:pPr>
            <w:r>
              <w:rPr>
                <w:sz w:val="17"/>
              </w:rPr>
              <w:t>Sum of angles between successive unit segment directions; strongly dependent on sampling and smoothing.</w:t>
            </w:r>
          </w:p>
        </w:tc>
      </w:tr>
      <w:tr>
        <w:trPr>
          <w:cantSplit/>
        </w:trPr>
        <w:tc>
          <w:tcPr>
            <w:tcW w:type="dxa" w:w="2750"/>
            <w:tcMar>
              <w:top w:w="85" w:type="dxa"/>
              <w:start w:w="120" w:type="dxa"/>
              <w:bottom w:w="85" w:type="dxa"/>
              <w:end w:w="120" w:type="dxa"/>
            </w:tcMar>
            <w:vAlign w:val="center"/>
          </w:tcPr>
          <w:p>
            <w:pPr>
              <w:jc w:val="left"/>
            </w:pPr>
            <w:r>
              <w:rPr>
                <w:sz w:val="17"/>
              </w:rPr>
              <w:t>Maximum local turn</w:t>
            </w:r>
          </w:p>
        </w:tc>
        <w:tc>
          <w:tcPr>
            <w:tcW w:type="dxa" w:w="6610"/>
            <w:tcMar>
              <w:top w:w="85" w:type="dxa"/>
              <w:start w:w="120" w:type="dxa"/>
              <w:bottom w:w="85" w:type="dxa"/>
              <w:end w:w="120" w:type="dxa"/>
            </w:tcMar>
            <w:vAlign w:val="center"/>
          </w:tcPr>
          <w:p>
            <w:pPr>
              <w:jc w:val="left"/>
            </w:pPr>
            <w:r>
              <w:rPr>
                <w:sz w:val="17"/>
              </w:rPr>
              <w:t>Maximum direction change after uniform arc-length resampling; used for local sharpness QC.</w:t>
            </w:r>
          </w:p>
        </w:tc>
      </w:tr>
      <w:tr>
        <w:trPr>
          <w:cantSplit/>
        </w:trPr>
        <w:tc>
          <w:tcPr>
            <w:tcW w:type="dxa" w:w="2750"/>
            <w:tcMar>
              <w:top w:w="85" w:type="dxa"/>
              <w:start w:w="120" w:type="dxa"/>
              <w:bottom w:w="85" w:type="dxa"/>
              <w:end w:w="120" w:type="dxa"/>
            </w:tcMar>
            <w:vAlign w:val="center"/>
          </w:tcPr>
          <w:p>
            <w:pPr>
              <w:jc w:val="left"/>
            </w:pPr>
            <w:r>
              <w:rPr>
                <w:sz w:val="17"/>
              </w:rPr>
              <w:t>Inferior displacement</w:t>
            </w:r>
          </w:p>
        </w:tc>
        <w:tc>
          <w:tcPr>
            <w:tcW w:type="dxa" w:w="6610"/>
            <w:tcMar>
              <w:top w:w="85" w:type="dxa"/>
              <w:start w:w="120" w:type="dxa"/>
              <w:bottom w:w="85" w:type="dxa"/>
              <w:end w:w="120" w:type="dxa"/>
            </w:tcMar>
            <w:vAlign w:val="center"/>
          </w:tcPr>
          <w:p>
            <w:pPr>
              <w:jc w:val="left"/>
            </w:pPr>
            <w:r>
              <w:rPr>
                <w:sz w:val="17"/>
              </w:rPr>
              <w:t>Dominant negative cardiac/RAS-Z displacement from branch start toward terminal.</w:t>
            </w:r>
          </w:p>
        </w:tc>
      </w:tr>
      <w:tr>
        <w:trPr>
          <w:cantSplit/>
        </w:trPr>
        <w:tc>
          <w:tcPr>
            <w:tcW w:type="dxa" w:w="2750"/>
            <w:tcMar>
              <w:top w:w="85" w:type="dxa"/>
              <w:start w:w="120" w:type="dxa"/>
              <w:bottom w:w="85" w:type="dxa"/>
              <w:end w:w="120" w:type="dxa"/>
            </w:tcMar>
            <w:vAlign w:val="center"/>
          </w:tcPr>
          <w:p>
            <w:pPr>
              <w:jc w:val="left"/>
            </w:pPr>
            <w:r>
              <w:rPr>
                <w:sz w:val="17"/>
              </w:rPr>
              <w:t>Terminal lateral fraction</w:t>
            </w:r>
          </w:p>
        </w:tc>
        <w:tc>
          <w:tcPr>
            <w:tcW w:type="dxa" w:w="6610"/>
            <w:tcMar>
              <w:top w:w="85" w:type="dxa"/>
              <w:start w:w="120" w:type="dxa"/>
              <w:bottom w:w="85" w:type="dxa"/>
              <w:end w:w="120" w:type="dxa"/>
            </w:tcMar>
            <w:vAlign w:val="center"/>
          </w:tcPr>
          <w:p>
            <w:pPr>
              <w:jc w:val="left"/>
            </w:pPr>
            <w:r>
              <w:rPr>
                <w:sz w:val="17"/>
              </w:rPr>
              <w:t>Terminal lateral/circumferential displacement normalized by branch length.</w:t>
            </w:r>
          </w:p>
        </w:tc>
      </w:tr>
      <w:tr>
        <w:trPr>
          <w:cantSplit/>
        </w:trPr>
        <w:tc>
          <w:tcPr>
            <w:tcW w:type="dxa" w:w="2750"/>
            <w:tcMar>
              <w:top w:w="85" w:type="dxa"/>
              <w:start w:w="120" w:type="dxa"/>
              <w:bottom w:w="85" w:type="dxa"/>
              <w:end w:w="120" w:type="dxa"/>
            </w:tcMar>
            <w:vAlign w:val="center"/>
          </w:tcPr>
          <w:p>
            <w:pPr>
              <w:jc w:val="left"/>
            </w:pPr>
            <w:r>
              <w:rPr>
                <w:sz w:val="17"/>
              </w:rPr>
              <w:t>Backward-progress ratio</w:t>
            </w:r>
          </w:p>
        </w:tc>
        <w:tc>
          <w:tcPr>
            <w:tcW w:type="dxa" w:w="6610"/>
            <w:tcMar>
              <w:top w:w="85" w:type="dxa"/>
              <w:start w:w="120" w:type="dxa"/>
              <w:bottom w:w="85" w:type="dxa"/>
              <w:end w:w="120" w:type="dxa"/>
            </w:tcMar>
            <w:vAlign w:val="center"/>
          </w:tcPr>
          <w:p>
            <w:pPr>
              <w:jc w:val="left"/>
            </w:pPr>
            <w:r>
              <w:rPr>
                <w:sz w:val="17"/>
              </w:rPr>
              <w:t>Accumulated negative projection along the branch chord divided by chord length.</w:t>
            </w:r>
          </w:p>
        </w:tc>
      </w:tr>
      <w:tr>
        <w:trPr>
          <w:cantSplit/>
        </w:trPr>
        <w:tc>
          <w:tcPr>
            <w:tcW w:type="dxa" w:w="2750"/>
            <w:tcMar>
              <w:top w:w="85" w:type="dxa"/>
              <w:start w:w="120" w:type="dxa"/>
              <w:bottom w:w="85" w:type="dxa"/>
              <w:end w:w="120" w:type="dxa"/>
            </w:tcMar>
            <w:vAlign w:val="center"/>
          </w:tcPr>
          <w:p>
            <w:pPr>
              <w:jc w:val="left"/>
            </w:pPr>
            <w:r>
              <w:rPr>
                <w:sz w:val="17"/>
              </w:rPr>
              <w:t>Terminal-progress fraction</w:t>
            </w:r>
          </w:p>
        </w:tc>
        <w:tc>
          <w:tcPr>
            <w:tcW w:type="dxa" w:w="6610"/>
            <w:tcMar>
              <w:top w:w="85" w:type="dxa"/>
              <w:start w:w="120" w:type="dxa"/>
              <w:bottom w:w="85" w:type="dxa"/>
              <w:end w:w="120" w:type="dxa"/>
            </w:tcMar>
            <w:vAlign w:val="center"/>
          </w:tcPr>
          <w:p>
            <w:pPr>
              <w:jc w:val="left"/>
            </w:pPr>
            <w:r>
              <w:rPr>
                <w:sz w:val="17"/>
              </w:rPr>
              <w:t>Fraction of sampled steps that approach the terminal rather than move away.</w:t>
            </w:r>
          </w:p>
        </w:tc>
      </w:tr>
      <w:tr>
        <w:trPr>
          <w:cantSplit/>
        </w:trPr>
        <w:tc>
          <w:tcPr>
            <w:tcW w:type="dxa" w:w="2750"/>
            <w:tcMar>
              <w:top w:w="85" w:type="dxa"/>
              <w:start w:w="120" w:type="dxa"/>
              <w:bottom w:w="85" w:type="dxa"/>
              <w:end w:w="120" w:type="dxa"/>
            </w:tcMar>
            <w:vAlign w:val="center"/>
          </w:tcPr>
          <w:p>
            <w:pPr>
              <w:jc w:val="left"/>
            </w:pPr>
            <w:r>
              <w:rPr>
                <w:sz w:val="17"/>
              </w:rPr>
              <w:t>Plane residual</w:t>
            </w:r>
          </w:p>
        </w:tc>
        <w:tc>
          <w:tcPr>
            <w:tcW w:type="dxa" w:w="6610"/>
            <w:tcMar>
              <w:top w:w="85" w:type="dxa"/>
              <w:start w:w="120" w:type="dxa"/>
              <w:bottom w:w="85" w:type="dxa"/>
              <w:end w:w="120" w:type="dxa"/>
            </w:tcMar>
            <w:vAlign w:val="center"/>
          </w:tcPr>
          <w:p>
            <w:pPr>
              <w:jc w:val="left"/>
            </w:pPr>
            <w:r>
              <w:rPr>
                <w:sz w:val="17"/>
              </w:rPr>
              <w:t>Orthogonal distance from centerline points to the least-squares SVD plane; descriptive, not a requirement that the vessel is planar.</w:t>
            </w:r>
          </w:p>
        </w:tc>
      </w:tr>
      <w:tr>
        <w:trPr>
          <w:cantSplit/>
        </w:trPr>
        <w:tc>
          <w:tcPr>
            <w:tcW w:type="dxa" w:w="2750"/>
            <w:tcMar>
              <w:top w:w="85" w:type="dxa"/>
              <w:start w:w="120" w:type="dxa"/>
              <w:bottom w:w="85" w:type="dxa"/>
              <w:end w:w="120" w:type="dxa"/>
            </w:tcMar>
            <w:vAlign w:val="center"/>
          </w:tcPr>
          <w:p>
            <w:pPr>
              <w:jc w:val="left"/>
            </w:pPr>
            <w:r>
              <w:rPr>
                <w:sz w:val="17"/>
              </w:rPr>
              <w:t>Radius reduction</w:t>
            </w:r>
          </w:p>
        </w:tc>
        <w:tc>
          <w:tcPr>
            <w:tcW w:type="dxa" w:w="6610"/>
            <w:tcMar>
              <w:top w:w="85" w:type="dxa"/>
              <w:start w:w="120" w:type="dxa"/>
              <w:bottom w:w="85" w:type="dxa"/>
              <w:end w:w="120" w:type="dxa"/>
            </w:tcMar>
            <w:vAlign w:val="center"/>
          </w:tcPr>
          <w:p>
            <w:pPr>
              <w:jc w:val="left"/>
            </w:pPr>
            <w:r>
              <w:rPr>
                <w:sz w:val="17"/>
              </w:rPr>
              <w:t>1 - diseased_radius / healthy_radius at each point.</w:t>
            </w:r>
          </w:p>
        </w:tc>
      </w:tr>
      <w:tr>
        <w:trPr>
          <w:cantSplit/>
        </w:trPr>
        <w:tc>
          <w:tcPr>
            <w:tcW w:type="dxa" w:w="2750"/>
            <w:tcMar>
              <w:top w:w="85" w:type="dxa"/>
              <w:start w:w="120" w:type="dxa"/>
              <w:bottom w:w="85" w:type="dxa"/>
              <w:end w:w="120" w:type="dxa"/>
            </w:tcMar>
            <w:vAlign w:val="center"/>
          </w:tcPr>
          <w:p>
            <w:pPr>
              <w:jc w:val="left"/>
            </w:pPr>
            <w:r>
              <w:rPr>
                <w:sz w:val="17"/>
              </w:rPr>
              <w:t>Equivalent area reduction</w:t>
            </w:r>
          </w:p>
        </w:tc>
        <w:tc>
          <w:tcPr>
            <w:tcW w:type="dxa" w:w="6610"/>
            <w:tcMar>
              <w:top w:w="85" w:type="dxa"/>
              <w:start w:w="120" w:type="dxa"/>
              <w:bottom w:w="85" w:type="dxa"/>
              <w:end w:w="120" w:type="dxa"/>
            </w:tcMar>
            <w:vAlign w:val="center"/>
          </w:tcPr>
          <w:p>
            <w:pPr>
              <w:jc w:val="left"/>
            </w:pPr>
            <w:r>
              <w:rPr>
                <w:sz w:val="17"/>
              </w:rPr>
              <w:t>1 - (diseased_radius / healthy_radius)^2 under a circular cross-section approximation.</w:t>
            </w:r>
          </w:p>
        </w:tc>
      </w:tr>
      <w:tr>
        <w:trPr>
          <w:cantSplit/>
        </w:trPr>
        <w:tc>
          <w:tcPr>
            <w:tcW w:type="dxa" w:w="2750"/>
            <w:tcMar>
              <w:top w:w="85" w:type="dxa"/>
              <w:start w:w="120" w:type="dxa"/>
              <w:bottom w:w="85" w:type="dxa"/>
              <w:end w:w="120" w:type="dxa"/>
            </w:tcMar>
            <w:vAlign w:val="center"/>
          </w:tcPr>
          <w:p>
            <w:pPr>
              <w:jc w:val="left"/>
            </w:pPr>
            <w:r>
              <w:rPr>
                <w:sz w:val="17"/>
              </w:rPr>
              <w:t>Pulsatility</w:t>
            </w:r>
          </w:p>
        </w:tc>
        <w:tc>
          <w:tcPr>
            <w:tcW w:type="dxa" w:w="6610"/>
            <w:tcMar>
              <w:top w:w="85" w:type="dxa"/>
              <w:start w:w="120" w:type="dxa"/>
              <w:bottom w:w="85" w:type="dxa"/>
              <w:end w:w="120" w:type="dxa"/>
            </w:tcMar>
            <w:vAlign w:val="center"/>
          </w:tcPr>
          <w:p>
            <w:pPr>
              <w:jc w:val="left"/>
            </w:pPr>
            <w:r>
              <w:rPr>
                <w:sz w:val="17"/>
              </w:rPr>
              <w:t>Absolute cyclic radius change relative to the diseased reference radius.</w:t>
            </w:r>
          </w:p>
        </w:tc>
      </w:tr>
      <w:tr>
        <w:trPr>
          <w:cantSplit/>
        </w:trPr>
        <w:tc>
          <w:tcPr>
            <w:tcW w:type="dxa" w:w="2750"/>
            <w:tcMar>
              <w:top w:w="85" w:type="dxa"/>
              <w:start w:w="120" w:type="dxa"/>
              <w:bottom w:w="85" w:type="dxa"/>
              <w:end w:w="120" w:type="dxa"/>
            </w:tcMar>
            <w:vAlign w:val="center"/>
          </w:tcPr>
          <w:p>
            <w:pPr>
              <w:jc w:val="left"/>
            </w:pPr>
            <w:r>
              <w:rPr>
                <w:sz w:val="17"/>
              </w:rPr>
              <w:t>Topology error</w:t>
            </w:r>
          </w:p>
        </w:tc>
        <w:tc>
          <w:tcPr>
            <w:tcW w:type="dxa" w:w="6610"/>
            <w:tcMar>
              <w:top w:w="85" w:type="dxa"/>
              <w:start w:w="120" w:type="dxa"/>
              <w:bottom w:w="85" w:type="dxa"/>
              <w:end w:w="120" w:type="dxa"/>
            </w:tcMar>
            <w:vAlign w:val="center"/>
          </w:tcPr>
          <w:p>
            <w:pPr>
              <w:jc w:val="left"/>
            </w:pPr>
            <w:r>
              <w:rPr>
                <w:sz w:val="17"/>
              </w:rPr>
              <w:t>Euclidean difference between LMCA terminal and daughter start points; required to be effectively zero.</w:t>
            </w:r>
          </w:p>
        </w:tc>
      </w:tr>
    </w:tbl>
    <w:p>
      <w:pPr>
        <w:spacing w:after="0"/>
      </w:pPr>
    </w:p>
    <w:p>
      <w:pPr>
        <w:pStyle w:val="Heading1"/>
        <w:pageBreakBefore/>
      </w:pPr>
      <w:r>
        <w:t>Appendix B. Artifact map</w:t>
      </w:r>
    </w:p>
    <w:tbl>
      <w:tblPr>
        <w:tblStyle w:val="TableGrid"/>
        <w:tblW w:type="dxa" w:w="9360"/>
        <w:tblLayout w:type="fixed"/>
        <w:tblLook w:firstColumn="1" w:firstRow="1" w:lastColumn="0" w:lastRow="0" w:noHBand="0" w:noVBand="1" w:val="04A0"/>
        <w:jc w:val="left"/>
        <w:tblInd w:w="0" w:type="dxa"/>
      </w:tblPr>
      <w:tblGrid>
        <w:gridCol w:w="3700"/>
        <w:gridCol w:w="5660"/>
      </w:tblGrid>
      <w:tr>
        <w:trPr>
          <w:cantSplit/>
          <w:tblHeader w:val="true"/>
          <w:cantSplit/>
        </w:trPr>
        <w:tc>
          <w:tcPr>
            <w:tcW w:type="dxa" w:w="3700"/>
            <w:tcMar>
              <w:top w:w="85" w:type="dxa"/>
              <w:start w:w="120" w:type="dxa"/>
              <w:bottom w:w="85" w:type="dxa"/>
              <w:end w:w="120" w:type="dxa"/>
            </w:tcMar>
            <w:vAlign w:val="center"/>
            <w:shd w:fill="EAF2FB"/>
          </w:tcPr>
          <w:p>
            <w:pPr>
              <w:jc w:val="center"/>
            </w:pPr>
            <w:r>
              <w:rPr>
                <w:b/>
                <w:sz w:val="17"/>
              </w:rPr>
              <w:t>Location</w:t>
            </w:r>
          </w:p>
        </w:tc>
        <w:tc>
          <w:tcPr>
            <w:tcW w:type="dxa" w:w="5660"/>
            <w:tcMar>
              <w:top w:w="85" w:type="dxa"/>
              <w:start w:w="120" w:type="dxa"/>
              <w:bottom w:w="85" w:type="dxa"/>
              <w:end w:w="120" w:type="dxa"/>
            </w:tcMar>
            <w:vAlign w:val="center"/>
            <w:shd w:fill="EAF2FB"/>
          </w:tcPr>
          <w:p>
            <w:pPr>
              <w:jc w:val="center"/>
            </w:pPr>
            <w:r>
              <w:rPr>
                <w:b/>
                <w:sz w:val="17"/>
              </w:rPr>
              <w:t>Contents</w:t>
            </w:r>
          </w:p>
        </w:tc>
      </w:tr>
      <w:tr>
        <w:trPr>
          <w:cantSplit/>
        </w:trPr>
        <w:tc>
          <w:tcPr>
            <w:tcW w:type="dxa" w:w="3700"/>
            <w:tcMar>
              <w:top w:w="85" w:type="dxa"/>
              <w:start w:w="120" w:type="dxa"/>
              <w:bottom w:w="85" w:type="dxa"/>
              <w:end w:w="120" w:type="dxa"/>
            </w:tcMar>
            <w:vAlign w:val="center"/>
          </w:tcPr>
          <w:p>
            <w:pPr>
              <w:jc w:val="left"/>
            </w:pPr>
            <w:r>
              <w:rPr>
                <w:sz w:val="17"/>
              </w:rPr>
              <w:t>outputs/lca_ssm/lca_population_model/generator_statistics/</w:t>
            </w:r>
          </w:p>
        </w:tc>
        <w:tc>
          <w:tcPr>
            <w:tcW w:type="dxa" w:w="5660"/>
            <w:tcMar>
              <w:top w:w="85" w:type="dxa"/>
              <w:start w:w="120" w:type="dxa"/>
              <w:bottom w:w="85" w:type="dxa"/>
              <w:end w:w="120" w:type="dxa"/>
            </w:tcMar>
            <w:vAlign w:val="center"/>
          </w:tcPr>
          <w:p>
            <w:pPr>
              <w:jc w:val="left"/>
            </w:pPr>
            <w:r>
              <w:rPr>
                <w:sz w:val="17"/>
              </w:rPr>
              <w:t>Frozen ellipsoid, landmark, branch assignment, PCA, surface coordinate, and validation packages.</w:t>
            </w:r>
          </w:p>
        </w:tc>
      </w:tr>
      <w:tr>
        <w:trPr>
          <w:cantSplit/>
        </w:trPr>
        <w:tc>
          <w:tcPr>
            <w:tcW w:type="dxa" w:w="3700"/>
            <w:tcMar>
              <w:top w:w="85" w:type="dxa"/>
              <w:start w:w="120" w:type="dxa"/>
              <w:bottom w:w="85" w:type="dxa"/>
              <w:end w:w="120" w:type="dxa"/>
            </w:tcMar>
            <w:vAlign w:val="center"/>
          </w:tcPr>
          <w:p>
            <w:pPr>
              <w:jc w:val="left"/>
            </w:pPr>
            <w:r>
              <w:rPr>
                <w:sz w:val="17"/>
              </w:rPr>
              <w:t>outputs/lca_ssm/lca_population_cohort/</w:t>
            </w:r>
          </w:p>
        </w:tc>
        <w:tc>
          <w:tcPr>
            <w:tcW w:type="dxa" w:w="5660"/>
            <w:tcMar>
              <w:top w:w="85" w:type="dxa"/>
              <w:start w:w="120" w:type="dxa"/>
              <w:bottom w:w="85" w:type="dxa"/>
              <w:end w:w="120" w:type="dxa"/>
            </w:tcMar>
            <w:vAlign w:val="center"/>
          </w:tcPr>
          <w:p>
            <w:pPr>
              <w:jc w:val="left"/>
            </w:pPr>
            <w:r>
              <w:rPr>
                <w:sz w:val="17"/>
              </w:rPr>
              <w:t>52 accepted static trees locally; tracked compact evidence, tree 0001, montage, metrics, and validation plots.</w:t>
            </w:r>
          </w:p>
        </w:tc>
      </w:tr>
      <w:tr>
        <w:trPr>
          <w:cantSplit/>
        </w:trPr>
        <w:tc>
          <w:tcPr>
            <w:tcW w:type="dxa" w:w="3700"/>
            <w:tcMar>
              <w:top w:w="85" w:type="dxa"/>
              <w:start w:w="120" w:type="dxa"/>
              <w:bottom w:w="85" w:type="dxa"/>
              <w:end w:w="120" w:type="dxa"/>
            </w:tcMar>
            <w:vAlign w:val="center"/>
          </w:tcPr>
          <w:p>
            <w:pPr>
              <w:jc w:val="left"/>
            </w:pPr>
            <w:r>
              <w:rPr>
                <w:sz w:val="17"/>
              </w:rPr>
              <w:t>outputs/lca_ssm/lca_population_motion/</w:t>
            </w:r>
          </w:p>
        </w:tc>
        <w:tc>
          <w:tcPr>
            <w:tcW w:type="dxa" w:w="5660"/>
            <w:tcMar>
              <w:top w:w="85" w:type="dxa"/>
              <w:start w:w="120" w:type="dxa"/>
              <w:bottom w:w="85" w:type="dxa"/>
              <w:end w:w="120" w:type="dxa"/>
            </w:tcMar>
            <w:vAlign w:val="center"/>
          </w:tcPr>
          <w:p>
            <w:pPr>
              <w:jc w:val="left"/>
            </w:pPr>
            <w:r>
              <w:rPr>
                <w:sz w:val="17"/>
              </w:rPr>
              <w:t>52 x 10 phase motion output locally; tracked summary and QC image.</w:t>
            </w:r>
          </w:p>
        </w:tc>
      </w:tr>
      <w:tr>
        <w:trPr>
          <w:cantSplit/>
        </w:trPr>
        <w:tc>
          <w:tcPr>
            <w:tcW w:type="dxa" w:w="3700"/>
            <w:tcMar>
              <w:top w:w="85" w:type="dxa"/>
              <w:start w:w="120" w:type="dxa"/>
              <w:bottom w:w="85" w:type="dxa"/>
              <w:end w:w="120" w:type="dxa"/>
            </w:tcMar>
            <w:vAlign w:val="center"/>
          </w:tcPr>
          <w:p>
            <w:pPr>
              <w:jc w:val="left"/>
            </w:pPr>
            <w:r>
              <w:rPr>
                <w:sz w:val="17"/>
              </w:rPr>
              <w:t>outputs/lca_ssm/lca_population_export/</w:t>
            </w:r>
          </w:p>
        </w:tc>
        <w:tc>
          <w:tcPr>
            <w:tcW w:type="dxa" w:w="5660"/>
            <w:tcMar>
              <w:top w:w="85" w:type="dxa"/>
              <w:start w:w="120" w:type="dxa"/>
              <w:bottom w:w="85" w:type="dxa"/>
              <w:end w:w="120" w:type="dxa"/>
            </w:tcMar>
            <w:vAlign w:val="center"/>
          </w:tcPr>
          <w:p>
            <w:pPr>
              <w:jc w:val="left"/>
            </w:pPr>
            <w:r>
              <w:rPr>
                <w:sz w:val="17"/>
              </w:rPr>
              <w:t>Fixed-size population arrays locally; tracked summary and QC report.</w:t>
            </w:r>
          </w:p>
        </w:tc>
      </w:tr>
      <w:tr>
        <w:trPr>
          <w:cantSplit/>
        </w:trPr>
        <w:tc>
          <w:tcPr>
            <w:tcW w:type="dxa" w:w="3700"/>
            <w:tcMar>
              <w:top w:w="85" w:type="dxa"/>
              <w:start w:w="120" w:type="dxa"/>
              <w:bottom w:w="85" w:type="dxa"/>
              <w:end w:w="120" w:type="dxa"/>
            </w:tcMar>
            <w:vAlign w:val="center"/>
          </w:tcPr>
          <w:p>
            <w:pPr>
              <w:jc w:val="left"/>
            </w:pPr>
            <w:r>
              <w:rPr>
                <w:sz w:val="17"/>
              </w:rPr>
              <w:t>submission_release/demo_cases/</w:t>
            </w:r>
          </w:p>
        </w:tc>
        <w:tc>
          <w:tcPr>
            <w:tcW w:type="dxa" w:w="5660"/>
            <w:tcMar>
              <w:top w:w="85" w:type="dxa"/>
              <w:start w:w="120" w:type="dxa"/>
              <w:bottom w:w="85" w:type="dxa"/>
              <w:end w:w="120" w:type="dxa"/>
            </w:tcMar>
            <w:vAlign w:val="center"/>
          </w:tcPr>
          <w:p>
            <w:pPr>
              <w:jc w:val="left"/>
            </w:pPr>
            <w:r>
              <w:rPr>
                <w:sz w:val="17"/>
              </w:rPr>
              <w:t>Four complete portable cases with arrays, metadata, VTK, previews, visualizations, and audits.</w:t>
            </w:r>
          </w:p>
        </w:tc>
      </w:tr>
      <w:tr>
        <w:trPr>
          <w:cantSplit/>
        </w:trPr>
        <w:tc>
          <w:tcPr>
            <w:tcW w:type="dxa" w:w="3700"/>
            <w:tcMar>
              <w:top w:w="85" w:type="dxa"/>
              <w:start w:w="120" w:type="dxa"/>
              <w:bottom w:w="85" w:type="dxa"/>
              <w:end w:w="120" w:type="dxa"/>
            </w:tcMar>
            <w:vAlign w:val="center"/>
          </w:tcPr>
          <w:p>
            <w:pPr>
              <w:jc w:val="left"/>
            </w:pPr>
            <w:r>
              <w:rPr>
                <w:sz w:val="17"/>
              </w:rPr>
              <w:t>submission_release/reports/</w:t>
            </w:r>
          </w:p>
        </w:tc>
        <w:tc>
          <w:tcPr>
            <w:tcW w:type="dxa" w:w="5660"/>
            <w:tcMar>
              <w:top w:w="85" w:type="dxa"/>
              <w:start w:w="120" w:type="dxa"/>
              <w:bottom w:w="85" w:type="dxa"/>
              <w:end w:w="120" w:type="dxa"/>
            </w:tcMar>
            <w:vAlign w:val="center"/>
          </w:tcPr>
          <w:p>
            <w:pPr>
              <w:jc w:val="left"/>
            </w:pPr>
            <w:r>
              <w:rPr>
                <w:sz w:val="17"/>
              </w:rPr>
              <w:t>Per-tree quantitative DOCX reports retained as supporting evidence.</w:t>
            </w:r>
          </w:p>
        </w:tc>
      </w:tr>
      <w:tr>
        <w:trPr>
          <w:cantSplit/>
        </w:trPr>
        <w:tc>
          <w:tcPr>
            <w:tcW w:type="dxa" w:w="3700"/>
            <w:tcMar>
              <w:top w:w="85" w:type="dxa"/>
              <w:start w:w="120" w:type="dxa"/>
              <w:bottom w:w="85" w:type="dxa"/>
              <w:end w:w="120" w:type="dxa"/>
            </w:tcMar>
            <w:vAlign w:val="center"/>
          </w:tcPr>
          <w:p>
            <w:pPr>
              <w:jc w:val="left"/>
            </w:pPr>
            <w:r>
              <w:rPr>
                <w:sz w:val="17"/>
              </w:rPr>
              <w:t>submission_release/FINAL_PROJECT_REPORT.docx</w:t>
            </w:r>
          </w:p>
        </w:tc>
        <w:tc>
          <w:tcPr>
            <w:tcW w:type="dxa" w:w="5660"/>
            <w:tcMar>
              <w:top w:w="85" w:type="dxa"/>
              <w:start w:w="120" w:type="dxa"/>
              <w:bottom w:w="85" w:type="dxa"/>
              <w:end w:w="120" w:type="dxa"/>
            </w:tcMar>
            <w:vAlign w:val="center"/>
          </w:tcPr>
          <w:p>
            <w:pPr>
              <w:jc w:val="left"/>
            </w:pPr>
            <w:r>
              <w:rPr>
                <w:sz w:val="17"/>
              </w:rPr>
              <w:t>Master project report and final document.</w:t>
            </w:r>
          </w:p>
        </w:tc>
      </w:tr>
      <w:tr>
        <w:trPr>
          <w:cantSplit/>
        </w:trPr>
        <w:tc>
          <w:tcPr>
            <w:tcW w:type="dxa" w:w="3700"/>
            <w:tcMar>
              <w:top w:w="85" w:type="dxa"/>
              <w:start w:w="120" w:type="dxa"/>
              <w:bottom w:w="85" w:type="dxa"/>
              <w:end w:w="120" w:type="dxa"/>
            </w:tcMar>
            <w:vAlign w:val="center"/>
          </w:tcPr>
          <w:p>
            <w:pPr>
              <w:jc w:val="left"/>
            </w:pPr>
            <w:r>
              <w:rPr>
                <w:sz w:val="17"/>
              </w:rPr>
              <w:t>SUBMISSION_GUIDE.md</w:t>
            </w:r>
          </w:p>
        </w:tc>
        <w:tc>
          <w:tcPr>
            <w:tcW w:type="dxa" w:w="5660"/>
            <w:tcMar>
              <w:top w:w="85" w:type="dxa"/>
              <w:start w:w="120" w:type="dxa"/>
              <w:bottom w:w="85" w:type="dxa"/>
              <w:end w:w="120" w:type="dxa"/>
            </w:tcMar>
            <w:vAlign w:val="center"/>
          </w:tcPr>
          <w:p>
            <w:pPr>
              <w:jc w:val="left"/>
            </w:pPr>
            <w:r>
              <w:rPr>
                <w:sz w:val="17"/>
              </w:rPr>
              <w:t>Five-minute usage, API, outputs, ParaView, validation, and scope guide.</w:t>
            </w:r>
          </w:p>
        </w:tc>
      </w:tr>
    </w:tbl>
    <w:p>
      <w:pPr>
        <w:spacing w:after="0"/>
      </w:pPr>
    </w:p>
    <w:p>
      <w:r>
        <w:br w:type="page"/>
      </w:r>
    </w:p>
    <w:p>
      <w:pPr>
        <w:pStyle w:val="Heading1"/>
        <w:pageBreakBefore w:val="0"/>
      </w:pPr>
      <w:r>
        <w:t>Appendix C. Acceptance checklist</w:t>
      </w:r>
    </w:p>
    <w:p>
      <w:pPr>
        <w:pStyle w:val="ListBullet"/>
      </w:pPr>
      <w:r>
        <w:t>PASS - Protected source centerlines remain unmodified.</w:t>
      </w:r>
    </w:p>
    <w:p>
      <w:pPr>
        <w:pStyle w:val="ListBullet"/>
      </w:pPr>
      <w:r>
        <w:t>PASS - Only confidence-resolved assignments enter statistics.</w:t>
      </w:r>
    </w:p>
    <w:p>
      <w:pPr>
        <w:pStyle w:val="ListBullet"/>
      </w:pPr>
      <w:r>
        <w:t>PASS - All 52 eligible baselines are represented in the final cohort.</w:t>
      </w:r>
    </w:p>
    <w:p>
      <w:pPr>
        <w:pStyle w:val="ListBullet"/>
      </w:pPr>
      <w:r>
        <w:t>PASS - All requested trees are accepted and exact topology is preserved.</w:t>
      </w:r>
    </w:p>
    <w:p>
      <w:pPr>
        <w:pStyle w:val="ListBullet"/>
      </w:pPr>
      <w:r>
        <w:t>PASS - All 50 population comparisons pass with no warning.</w:t>
      </w:r>
    </w:p>
    <w:p>
      <w:pPr>
        <w:pStyle w:val="ListBullet"/>
      </w:pPr>
      <w:r>
        <w:t>PASS - All 52 exported trees pass the documented relative LAD/LCX role gate; stricter absolute apex-reach checks remain separately descriptive.</w:t>
      </w:r>
    </w:p>
    <w:p>
      <w:pPr>
        <w:pStyle w:val="ListBullet"/>
      </w:pPr>
      <w:r>
        <w:t>PASS - Learned branch-course extrema are enforced.</w:t>
      </w:r>
    </w:p>
    <w:p>
      <w:pPr>
        <w:pStyle w:val="ListBullet"/>
      </w:pPr>
      <w:r>
        <w:t>PASS - Motion preserves topology and clearance in all 520 population snapshots.</w:t>
      </w:r>
    </w:p>
    <w:p>
      <w:pPr>
        <w:pStyle w:val="ListBullet"/>
      </w:pPr>
      <w:r>
        <w:t>PASS - Four release cases preserve exact closed-cycle and phase-zero identity.</w:t>
      </w:r>
    </w:p>
    <w:p>
      <w:pPr>
        <w:pStyle w:val="ListBullet"/>
      </w:pPr>
      <w:r>
        <w:t>PASS - Disease changes radii only and leaves XYZ unchanged.</w:t>
      </w:r>
    </w:p>
    <w:p>
      <w:pPr>
        <w:pStyle w:val="ListBullet"/>
      </w:pPr>
      <w:r>
        <w:t>PASS - Local lesion pulsatility is lower than healthy pulsatility by the configured compliance model.</w:t>
      </w:r>
    </w:p>
    <w:p>
      <w:pPr>
        <w:pStyle w:val="ListBullet"/>
      </w:pPr>
      <w:r>
        <w:t>PASS - All exports pass checksum, shape, radius, topology, and VTK readback verification.</w:t>
      </w:r>
    </w:p>
    <w:p>
      <w:pPr>
        <w:pStyle w:val="ListBullet"/>
      </w:pPr>
      <w:r>
        <w:t>PASS - All 92 regression checks pass; compileall and dependency checks pass.</w:t>
      </w:r>
    </w:p>
    <w:p>
      <w:pPr>
        <w:pStyle w:val="ListBullet"/>
      </w:pPr>
      <w:r>
        <w:t>PASS - Five-fold internal holdout has zero source/baseline leakage; it is not external validation.</w:t>
      </w:r>
    </w:p>
    <w:p>
      <w:pPr>
        <w:pStyle w:val="ListBullet"/>
      </w:pPr>
      <w:r>
        <w:t>PASS - Clinical non-validation and anatomical incompleteness are explicitly documented.</w:t>
      </w:r>
    </w:p>
    <w:p>
      <w:pPr>
        <w:pStyle w:val="ListBullet"/>
      </w:pPr>
      <w:r>
        <w:t>PASS - The final DOCX was rendered page-by-page and visually inspected before release.</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tcMar>
              <w:top w:w="85" w:type="dxa"/>
              <w:start w:w="120" w:type="dxa"/>
              <w:bottom w:w="85" w:type="dxa"/>
              <w:end w:w="120" w:type="dxa"/>
            </w:tcMar>
            <w:vAlign w:val="center"/>
            <w:shd w:fill="E6F4EA"/>
          </w:tcPr>
          <w:p>
            <w:r>
              <w:rPr>
                <w:b/>
                <w:color w:val="17324D"/>
              </w:rPr>
              <w:t>Final conclusion</w:t>
              <w:br/>
            </w:r>
            <w:r>
              <w:t>The repository is ready as a reproducible, disease-aware 4D major-vessel LCA research deliverable. Its engineering contract is validated; its remaining scientific and clinical boundaries are explicit and must be preserved.</w:t>
            </w:r>
          </w:p>
        </w:tc>
      </w:tr>
    </w:tbl>
    <w:p>
      <w:pPr>
        <w:spacing w:after="0"/>
      </w:pPr>
    </w:p>
    <w:sectPr w:rsidR="00FC693F" w:rsidRPr="0006063C" w:rsidSect="00034616">
      <w:headerReference w:type="default" r:id="rId9"/>
      <w:footerReference w:type="default" r:id="rId10"/>
      <w:pgSz w:w="12240" w:h="15840"/>
      <w:pgMar w:top="1080" w:right="1440" w:bottom="108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368"/>
        <w:sz w:val="16"/>
      </w:rPr>
      <w:t xml:space="preserve">Research/engineering prototype - not for clinical use                                      </w:t>
    </w:r>
    <w:r>
      <w:rPr>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ADCE0"/>
      </w:pBdr>
    </w:pPr>
    <w:r>
      <w:rPr>
        <w:rFonts w:ascii="Arial" w:hAnsi="Arial"/>
        <w:color w:val="5F6368"/>
        <w:sz w:val="16"/>
      </w:rPr>
      <w:t>CORONARY4D  |  FINAL TECHNICAL AND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A73E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Arial" w:hAnsi="Arial"/>
      <w:b w:val="0"/>
      <w:i/>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pubmed.ncbi.nlm.nih.gov/37829965/" TargetMode="External"/><Relationship Id="rId27" Type="http://schemas.openxmlformats.org/officeDocument/2006/relationships/hyperlink" Target="https://pubmed.ncbi.nlm.nih.gov/36944018/" TargetMode="External"/><Relationship Id="rId28" Type="http://schemas.openxmlformats.org/officeDocument/2006/relationships/hyperlink" Target="https://pubmed.ncbi.nlm.nih.gov/17035869/" TargetMode="External"/><Relationship Id="rId29" Type="http://schemas.openxmlformats.org/officeDocument/2006/relationships/hyperlink" Target="https://pubmed.ncbi.nlm.nih.gov/31779861/" TargetMode="External"/><Relationship Id="rId30" Type="http://schemas.openxmlformats.org/officeDocument/2006/relationships/hyperlink" Target="https://pubmed.ncbi.nlm.nih.gov/24098082/" TargetMode="External"/><Relationship Id="rId31" Type="http://schemas.openxmlformats.org/officeDocument/2006/relationships/hyperlink" Target="https://pubmed.ncbi.nlm.nih.gov/8043342/" TargetMode="External"/><Relationship Id="rId32" Type="http://schemas.openxmlformats.org/officeDocument/2006/relationships/hyperlink" Target="https://pubmed.ncbi.nlm.nih.gov/7796499/" TargetMode="External"/><Relationship Id="rId33" Type="http://schemas.openxmlformats.org/officeDocument/2006/relationships/hyperlink" Target="https://pubmed.ncbi.nlm.nih.gov/9253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 Coronary LCA Tree Generator - Final Project Report</dc:title>
  <dc:subject>Technical design, validation, usage, outputs, and limitations</dc:subject>
  <dc:creator>Coronary4D Project Team</dc:creator>
  <cp:keywords>coronary, LCA, PCA, SSM, disease, stenosis, 4D, validation</cp:keywords>
  <dc:description>generated by python-docx</dc:description>
  <cp:lastModifiedBy/>
  <cp:revision>1</cp:revision>
  <dcterms:created xsi:type="dcterms:W3CDTF">2013-12-23T23:15:00Z</dcterms:created>
  <dcterms:modified xsi:type="dcterms:W3CDTF">2013-12-23T23:15:00Z</dcterms:modified>
  <cp:category/>
</cp:coreProperties>
</file>