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28"/>
        </w:rPr>
        <w:t>CORONARY4D</w:t>
      </w:r>
    </w:p>
    <w:p>
      <w:pPr>
        <w:pStyle w:val="Title"/>
        <w:jc w:val="center"/>
      </w:pPr>
      <w:r>
        <w:t>Quantitative Tree Validation Report</w:t>
      </w:r>
    </w:p>
    <w:p>
      <w:pPr>
        <w:jc w:val="center"/>
      </w:pPr>
      <w:r>
        <w:rPr>
          <w:b/>
          <w:color w:val="188038"/>
          <w:sz w:val="38"/>
        </w:rPr>
        <w:t>Healthy Reference</w:t>
      </w:r>
    </w:p>
    <w:p>
      <w:pPr>
        <w:jc w:val="center"/>
      </w:pPr>
      <w:r>
        <w:rPr>
          <w:b/>
        </w:rPr>
        <w:t>Population-derived major-vessel LCA scaffold: LMCA → LAD + LCX</w:t>
        <w:br/>
      </w:r>
      <w:r>
        <w:t>Generated research anatomy with controlled radius disease and 4D deformation</w:t>
      </w:r>
    </w:p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E6F4EA"/>
          </w:tcPr>
          <w:p>
            <w:r>
              <w:rPr>
                <w:b/>
                <w:color w:val="17324D"/>
              </w:rPr>
              <w:t xml:space="preserve">Audit decision  </w:t>
            </w:r>
            <w:r>
              <w:t>Engineering validation PASS; major-vessel LCA anatomical plausibility PASS. Status remains PASS WITH CAVEATS because this is not a complete coronary tree or a clinically validated patient model.</w:t>
            </w:r>
          </w:p>
        </w:tc>
      </w:tr>
    </w:tbl>
    <w:p/>
    <w:tbl>
      <w:tblPr>
        <w:tblStyle w:val="TableGrid"/>
        <w:tblW w:type="dxa" w:w="14976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4536"/>
        <w:gridCol w:w="7200"/>
      </w:tblGrid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Interpretation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Case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healthy_reference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One of four controlled cases on identical anatomy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Population source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63.label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Data-derived warning-free representative; centerline was not hand-edited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Random seed / PCA scale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20260822 / 0.04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Reproducible low-amplitude statistical variation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4D sampling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10 frames at 60 bpm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Closed cycle includes phase 0 and repeated phase 1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Scope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population-derived LCA (LMCA, LAD, LCX); RCA not included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RCA and side branches are intentionally absent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Clinical status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NOT CLINICALLY VALIDATED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Research visualization and method development only</w:t>
            </w:r>
          </w:p>
        </w:tc>
      </w:tr>
    </w:tbl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FEF7E0"/>
          </w:tcPr>
          <w:p>
            <w:r>
              <w:rPr>
                <w:b/>
                <w:color w:val="17324D"/>
              </w:rPr>
              <w:t xml:space="preserve">Most important limitation  </w:t>
            </w:r>
            <w:r>
              <w:t>“Tree” in this report means the three-segment major-vessel LCA scaffold. It does not mean a complete human coronary arterial tree.</w:t>
            </w:r>
          </w:p>
        </w:tc>
      </w:tr>
    </w:tbl>
    <w:p>
      <w:pPr>
        <w:pStyle w:val="Heading1"/>
        <w:pageBreakBefore/>
      </w:pPr>
      <w:r>
        <w:t>1. Static anatomy and branch identity</w:t>
      </w:r>
      <w:r>
        <w:rPr>
          <w:b w:val="0"/>
          <w:color w:val="5F6368"/>
          <w:sz w:val="22"/>
        </w:rPr>
        <w:t xml:space="preserve">  |  fixed cardiac coordinate frame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458200" cy="62117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6211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2. Anatomical measurements</w:t>
      </w:r>
    </w:p>
    <w:tbl>
      <w:tblPr>
        <w:tblStyle w:val="TableGrid"/>
        <w:tblW w:type="dxa" w:w="1368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296"/>
        <w:gridCol w:w="1296"/>
        <w:gridCol w:w="1584"/>
        <w:gridCol w:w="1512"/>
        <w:gridCol w:w="1512"/>
        <w:gridCol w:w="1800"/>
        <w:gridCol w:w="1800"/>
        <w:gridCol w:w="1368"/>
      </w:tblGrid>
      <w:tr>
        <w:trPr>
          <w:cantSplit/>
        </w:trP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Branch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Length</w:t>
              <w:br/>
              <w:t>(mm)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Arc/chord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Prox. diameter</w:t>
              <w:br/>
              <w:t>(mm)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Mid diameter</w:t>
              <w:br/>
              <w:t>(mm)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Distal diameter</w:t>
              <w:br/>
              <w:t>(mm)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Inferior</w:t>
              <w:br/>
              <w:t>displacement (mm)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Terminal XY</w:t>
              <w:br/>
              <w:t>displacement (mm)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Plane RMS</w:t>
              <w:br/>
              <w:t>(mm)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LMCA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6.67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1.034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4.00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3.57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3.15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3.96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5.10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0.09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LAD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121.06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1.274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2.60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2.09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1.70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57.70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75.47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2.33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LCX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81.64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1.229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2.40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2.07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1.80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14.11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64.89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2.35</w:t>
            </w:r>
          </w:p>
        </w:tc>
      </w:tr>
    </w:tbl>
    <w:p/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944"/>
        <w:gridCol w:w="6192"/>
        <w:gridCol w:w="2376"/>
      </w:tblGrid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Junction/plane metric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Measured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External context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LMCA → LAD robust 3D tangent angle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55.0°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Cadaver mean 30.83 ± 9.23°; methods differ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Descriptive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LMCA → LCX robust 3D tangent angle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73.2°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Reported anatomy is highly variable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Descriptive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LAD ↔ LCX robust 3D daughter angle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97.9°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MDCT 80 ± 27°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Within ±2 SD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LAD/LCX plane acute angle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47.8°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Separate anatomical planes are expected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Distinct planes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Closest unintended segment pair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0.272 mm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['LMCA', 10, 'LMCA', 13]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No exact crossing detected</w:t>
            </w:r>
          </w:p>
        </w:tc>
      </w:tr>
    </w:tbl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E6F4EA"/>
          </w:tcPr>
          <w:p>
            <w:r>
              <w:rPr>
                <w:b/>
                <w:color w:val="17324D"/>
              </w:rPr>
              <w:t xml:space="preserve">Anatomical identity checks  </w:t>
            </w:r>
            <w:r>
              <w:t>PASS — LAD more inferior than LCX</w:t>
              <w:br/>
              <w:t>PASS — LAD is longer than LCX</w:t>
              <w:br/>
              <w:t>PASS — LAD initial course is inferior</w:t>
              <w:br/>
              <w:t>PASS — LCX initial course is horizontal</w:t>
              <w:br/>
              <w:t>PASS — LCX more circumferential by terminal fraction</w:t>
              <w:br/>
              <w:t>PASS — source assignment gate accepted</w:t>
            </w:r>
          </w:p>
        </w:tc>
      </w:tr>
    </w:tbl>
    <w:p>
      <w:r>
        <w:rPr>
          <w:b/>
        </w:rPr>
        <w:t xml:space="preserve">Interpretation. </w:t>
      </w:r>
      <w:r>
        <w:t>The LAD is the dominant inferior/apex-directed daughter; the LCX has the more circumferential terminal behavior. The exact LMCA-to-daughter junction is preserved in every frame. These checks support anatomical plausibility of the major-vessel LCA scaffold, not completeness.</w:t>
      </w:r>
    </w:p>
    <w:p>
      <w:pPr>
        <w:pStyle w:val="Heading1"/>
        <w:pageBreakBefore/>
      </w:pPr>
      <w:r>
        <w:t>3. Disease model</w:t>
      </w:r>
      <w:r>
        <w:rPr>
          <w:b w:val="0"/>
          <w:color w:val="5F6368"/>
          <w:sz w:val="22"/>
        </w:rPr>
        <w:t xml:space="preserve">  |  radius-only; centerline preserved</w:t>
      </w:r>
    </w:p>
    <w:tbl>
      <w:tblPr>
        <w:tblStyle w:val="TableGrid"/>
        <w:tblW w:type="dxa" w:w="13608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944"/>
        <w:gridCol w:w="1944"/>
        <w:gridCol w:w="1800"/>
        <w:gridCol w:w="1440"/>
        <w:gridCol w:w="1224"/>
        <w:gridCol w:w="2160"/>
        <w:gridCol w:w="1800"/>
      </w:tblGrid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Branch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Max diameter/radius</w:t>
              <w:br/>
              <w:t>reduction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Equivalent circular</w:t>
              <w:br/>
              <w:t>area reduction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Minimum lumen</w:t>
              <w:br/>
              <w:t>diameter (mm)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Affected points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Affected normalized</w:t>
              <w:br/>
              <w:t>arc range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Centerline change</w:t>
              <w:br/>
              <w:t>(mm)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LMCA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3.155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0.000e+00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LAD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1.701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0.000e+00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LCX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1.803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0.000e+00</w:t>
            </w:r>
          </w:p>
        </w:tc>
      </w:tr>
    </w:tbl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EAF2FB"/>
          </w:tcPr>
          <w:p>
            <w:r>
              <w:rPr>
                <w:b/>
                <w:color w:val="17324D"/>
              </w:rPr>
              <w:t xml:space="preserve">Requested configuration  </w:t>
            </w:r>
            <w:r>
              <w:t>{</w:t>
              <w:br/>
              <w:t xml:space="preserve">  "case_id": "healthy_reference",</w:t>
              <w:br/>
              <w:t xml:space="preserve">  "lesions": []</w:t>
              <w:br/>
              <w:t>}</w:t>
            </w:r>
          </w:p>
        </w:tc>
      </w:tr>
    </w:tbl>
    <w:p>
      <w:r>
        <w:rPr>
          <w:b/>
        </w:rPr>
        <w:t xml:space="preserve">Severity definition. </w:t>
      </w:r>
      <w:r>
        <w:t>The API severity is fractional radius reduction. With the model's circular cross-section assumption, fractional radius reduction equals fractional diameter reduction. Equivalent area reduction is reported separately as 1 − (1 − severity)². It must not be mistaken for clinically measured stenosis without patient imaging or flow assessment.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315200" cy="34316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ease_mode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43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Controlled healthy/focal/diffuse/tandem comparison on exactly the same centerline anatomy.</w:t>
      </w:r>
    </w:p>
    <w:p>
      <w:pPr>
        <w:pStyle w:val="Heading1"/>
        <w:pageBreakBefore/>
      </w:pPr>
      <w:r>
        <w:t>4. 4D motion and local/global pulsatility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726679" cy="51511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itative_motion_pulsat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5151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Quantitative curves reveal the 1–3% local radius signal that is intentionally subtle in the GIF.</w:t>
      </w:r>
    </w:p>
    <w:p>
      <w:pPr>
        <w:pStyle w:val="Heading1"/>
        <w:pageBreakBefore/>
      </w:pPr>
      <w:r>
        <w:t>5. Motion and pulsatility measurements</w:t>
      </w:r>
    </w:p>
    <w:tbl>
      <w:tblPr>
        <w:tblStyle w:val="TableGrid"/>
        <w:tblW w:type="dxa" w:w="13968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160"/>
        <w:gridCol w:w="2232"/>
        <w:gridCol w:w="2232"/>
        <w:gridCol w:w="1944"/>
        <w:gridCol w:w="1944"/>
        <w:gridCol w:w="2016"/>
      </w:tblGrid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Branch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Maximum point</w:t>
              <w:br/>
              <w:t>displacement (mm)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Mean displacement</w:t>
              <w:br/>
              <w:t>at peak (mm)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Terminal displacement</w:t>
              <w:br/>
              <w:t>at peak (mm)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Peak max radius</w:t>
              <w:br/>
              <w:t>change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Lesion-center</w:t>
              <w:br/>
              <w:t>radius change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Lesion/healthy</w:t>
              <w:br/>
              <w:t>amplitude ratio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LMCA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7.59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6.55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6.70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2.98%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LAD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7.59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5.29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4.62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2.98%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LCX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7.81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6.35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5.18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2.98%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</w:tbl>
    <w:p/>
    <w:tbl>
      <w:tblPr>
        <w:tblStyle w:val="TableGrid"/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3456"/>
        <w:gridCol w:w="5976"/>
      </w:tblGrid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Global check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Measured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Acceptance/interpretation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Peak sampled phase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0.556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Requested peak is 0.350; nearest 10-frame sample is 0.333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Maximum displacement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7.810 mm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Slightly above 8 mm point maximum; mean at peak is within published 3–8 mm average context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Mean displacement at peak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6.062 mm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Within the primary-study average 3D-motion context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Cycle-closing error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0.000e+00 mm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Exact closure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Global maximum radius change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2.980%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Within configured 3%; positive sign means expansion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Peak response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expansion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Simplified scalar early-diastolic lumen expansion; independent from motion peak</w:t>
            </w:r>
          </w:p>
        </w:tc>
      </w:tr>
    </w:tbl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E6F4EA"/>
          </w:tcPr>
          <w:p>
            <w:r>
              <w:rPr>
                <w:b/>
                <w:color w:val="17324D"/>
              </w:rPr>
              <w:t xml:space="preserve">Pulsatility conclusion  </w:t>
            </w:r>
            <w:r>
              <w:t>Global healthy-region radius change is 2.992%. The code implements and preserves both global pulsatility and local compliance reduction.No lesion is present, so every exported location follows the healthy-region pulsatility profile. The GIF is not a reliable measurement tool because rendered line width is much larger than a 1–3% radius change.</w:t>
            </w:r>
          </w:p>
        </w:tc>
      </w:tr>
    </w:tbl>
    <w:p>
      <w:r>
        <w:rPr>
          <w:b/>
        </w:rPr>
        <w:t xml:space="preserve">Physiology caveat. </w:t>
      </w:r>
      <w:r>
        <w:t>IVUS studies support cyclic coronary lumen variation and reduced distensibility in plaque, but report site- and method-dependent timing. The model uses one isotropic waveform synchronized to the deformation peak; it does not reproduce anisodiametric motion or patient pressure waveforms.</w:t>
      </w:r>
    </w:p>
    <w:p>
      <w:pPr>
        <w:pStyle w:val="Heading1"/>
        <w:pageBreakBefore/>
      </w:pPr>
      <w:r>
        <w:t>6. Acceptance, traceability and limitations</w:t>
      </w:r>
    </w:p>
    <w:tbl>
      <w:tblPr>
        <w:tblStyle w:val="TableGrid"/>
        <w:tblW w:type="dxa" w:w="15048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1728"/>
        <w:gridCol w:w="5976"/>
      </w:tblGrid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shd w:fill="18803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Validation item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shd w:fill="18803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shd w:fill="18803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Export/checksum/VTK readback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Exact shared bifurcation across all phases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Exact phase-0/phase-1 cycle closure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Major-vessel anatomical role gate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Positive finite radii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Disease centerline unchanged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Pulsatility within configured amplitude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</w:tbl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FEF7E0"/>
          </w:tcPr>
          <w:p>
            <w:r>
              <w:rPr>
                <w:b/>
                <w:color w:val="17324D"/>
              </w:rPr>
              <w:t xml:space="preserve">Residual warning  </w:t>
            </w:r>
            <w:r>
              <w:t>The maximum point displacement is 8.22 mm, marginally above the published 3–8 mm range for most average 3D displacements. The generated mean at peak is 7.17 mm. Because a point maximum and a cohort average are different statistics, this is a documented caveat rather than a failure.</w:t>
            </w:r>
          </w:p>
        </w:tc>
      </w:tr>
    </w:tbl>
    <w:p/>
    <w:tbl>
      <w:tblPr>
        <w:tblStyle w:val="TableGrid"/>
        <w:tblW w:type="dxa" w:w="15048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10296"/>
      </w:tblGrid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shd w:fill="D9302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 represented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shd w:fill="D9302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Consequence</w:t>
            </w:r>
          </w:p>
        </w:tc>
      </w:tr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RCA and downstream side branches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The output is not a complete coronary anatomy.</w:t>
            </w:r>
          </w:p>
        </w:tc>
      </w:tr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Patient-specific myocardium, ostia and dominance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Plausibility cannot be converted to patient validity.</w:t>
            </w:r>
          </w:p>
        </w:tc>
      </w:tr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Vessel wall, plaque composition, pressure and flow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No ischemia, FFR or clinical severity prediction is possible.</w:t>
            </w:r>
          </w:p>
        </w:tc>
      </w:tr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Anisotropic lumen shape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Radius is scalar; eccentric stenosis and anisodiametric pulsation are omitted.</w:t>
            </w:r>
          </w:p>
        </w:tc>
      </w:tr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Clinical annotation or expert adjudication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 cardiologist/radiologist review remains required before any anatomical claim beyond research plausibility.</w:t>
            </w:r>
          </w:p>
        </w:tc>
      </w:tr>
    </w:tbl>
    <w:p>
      <w:pPr>
        <w:pStyle w:val="Heading1"/>
        <w:pageBreakBefore/>
      </w:pPr>
      <w:r>
        <w:t>7. Primary-source literature context</w:t>
      </w:r>
    </w:p>
    <w:p>
      <w:r>
        <w:t>These publications are used as cross-study sanity context only. Differences in population, imaging modality, measurement definition and cardiac phase prevent them from being treated as universal clinical limits.</w:t>
      </w:r>
    </w:p>
    <w:p>
      <w:pPr>
        <w:spacing w:after="120"/>
      </w:pPr>
      <w:r>
        <w:rPr>
          <w:b/>
        </w:rPr>
        <w:t xml:space="preserve">1. Manpoong et al., Detailed Morphometric Analysis on Left Coronary Artery in the Population of North-East India, 2023. </w:t>
      </w:r>
      <w:hyperlink r:id="rId14">
        <w:r>
          <w:rPr>
            <w:color w:val="1A73E8"/>
            <w:u w:val="single"/>
          </w:rPr>
          <w:t>https://pubmed.ncbi.nlm.nih.gov/37829965/</w:t>
        </w:r>
      </w:hyperlink>
      <w:r>
        <w:br/>
        <w:t>Context used: sample size: 100; LMCA length mm: 9.13 +/- 3.23; LMCA diameter mm: 4.38 +/- 0.58; LAD length mm: 109.46 +/- 14.49; LCX length mm: 66.27 +/- 11.56.</w:t>
      </w:r>
    </w:p>
    <w:p>
      <w:pPr>
        <w:spacing w:after="120"/>
      </w:pPr>
      <w:r>
        <w:rPr>
          <w:b/>
        </w:rPr>
        <w:t xml:space="preserve">2. Lujinovic et al., Morphometric analysis of clinically significant parameters of the main trunk of the left coronary artery, 2023. </w:t>
      </w:r>
      <w:hyperlink r:id="rId15">
        <w:r>
          <w:rPr>
            <w:color w:val="1A73E8"/>
            <w:u w:val="single"/>
          </w:rPr>
          <w:t>https://pubmed.ncbi.nlm.nih.gov/36944018/</w:t>
        </w:r>
      </w:hyperlink>
      <w:r>
        <w:br/>
        <w:t>Context used: sample size: 29; LMCA length mm: median 9.0; range 6.0-13.5; LAD LCX angle deg: median 89.0; interquartile range 74.5-93.0; LMCA LAD angle deg: 30.83 +/- 9.23.</w:t>
      </w:r>
    </w:p>
    <w:p>
      <w:pPr>
        <w:spacing w:after="120"/>
      </w:pPr>
      <w:r>
        <w:rPr>
          <w:b/>
        </w:rPr>
        <w:t xml:space="preserve">3. Pflederer et al., Measurement of coronary artery bifurcation angles by multidetector computed tomography, 2006. </w:t>
      </w:r>
      <w:hyperlink r:id="rId16">
        <w:r>
          <w:rPr>
            <w:color w:val="1A73E8"/>
            <w:u w:val="single"/>
          </w:rPr>
          <w:t>https://pubmed.ncbi.nlm.nih.gov/17035869/</w:t>
        </w:r>
      </w:hyperlink>
      <w:r>
        <w:br/>
        <w:t>Context used: sample size: 100; LAD LCX angle deg: 80 +/- 27.</w:t>
      </w:r>
    </w:p>
    <w:p>
      <w:pPr>
        <w:spacing w:after="120"/>
      </w:pPr>
      <w:r>
        <w:rPr>
          <w:b/>
        </w:rPr>
        <w:t xml:space="preserve">4. Paul et al., A milestone in prediction of the coronary artery dimensions, 2019. </w:t>
      </w:r>
      <w:hyperlink r:id="rId17">
        <w:r>
          <w:rPr>
            <w:color w:val="1A73E8"/>
            <w:u w:val="single"/>
          </w:rPr>
          <w:t>https://pubmed.ncbi.nlm.nih.gov/31779861/</w:t>
        </w:r>
      </w:hyperlink>
      <w:r>
        <w:br/>
        <w:t>Context used: sample size: 925; LMCA diameter mm: 4.18 +/- 0.65; LAD diameter mm: 3.22 +/- 0.63; LCX diameter mm: 3.07 +/- 0.65.</w:t>
      </w:r>
    </w:p>
    <w:p>
      <w:pPr>
        <w:spacing w:after="120"/>
      </w:pPr>
      <w:r>
        <w:rPr>
          <w:b/>
        </w:rPr>
        <w:t xml:space="preserve">5. Tan et al., Estimation of the displacement of cardiac substructures and the motion of the coronary arteries using ECG gating, 2013. </w:t>
      </w:r>
      <w:hyperlink r:id="rId18">
        <w:r>
          <w:rPr>
            <w:color w:val="1A73E8"/>
            <w:u w:val="single"/>
          </w:rPr>
          <w:t>https://pubmed.ncbi.nlm.nih.gov/24098082/</w:t>
        </w:r>
      </w:hyperlink>
      <w:r>
        <w:br/>
        <w:t>Context used: coronary AP displacement mm: 2.8-5.9 average; coronary LR displacement mm: 3.5-6.6 average; coronary SI displacement mm: 3.8-5.3 average; summary: most average 3D displacements were 3-8 mm.</w:t>
      </w:r>
    </w:p>
    <w:p>
      <w:pPr>
        <w:spacing w:after="120"/>
      </w:pPr>
      <w:r>
        <w:rPr>
          <w:b/>
        </w:rPr>
        <w:t xml:space="preserve">6. Ge et al., Intravascular ultrasound imaging of angiographically normal coronary arteries, 1994. </w:t>
      </w:r>
      <w:hyperlink r:id="rId19">
        <w:r>
          <w:rPr>
            <w:color w:val="1A73E8"/>
            <w:u w:val="single"/>
          </w:rPr>
          <w:t>https://pubmed.ncbi.nlm.nih.gov/8043342/</w:t>
        </w:r>
      </w:hyperlink>
      <w:r>
        <w:br/>
        <w:t>Context used: normal area change: LMCA 10.2%, proximal LAD 8.3%, mid LAD 9.8%; plaque segment area change: 5.8%; timing note: maximum lumen area occurred in early diastole in this cohort.</w:t>
      </w:r>
    </w:p>
    <w:p>
      <w:pPr>
        <w:spacing w:after="120"/>
      </w:pPr>
      <w:r>
        <w:rPr>
          <w:b/>
        </w:rPr>
        <w:t xml:space="preserve">7. Nakatani et al., Assessment of coronary artery distensibility by intravascular ultrasound, 1995. </w:t>
      </w:r>
      <w:hyperlink r:id="rId20">
        <w:r>
          <w:rPr>
            <w:color w:val="1A73E8"/>
            <w:u w:val="single"/>
          </w:rPr>
          <w:t>https://pubmed.ncbi.nlm.nih.gov/7796499/</w:t>
        </w:r>
      </w:hyperlink>
      <w:r>
        <w:br/>
        <w:t>Context used: mean systolic lumen area mm2: 12.6 +/- 5.0; mean diastolic lumen area mm2: 11.6 +/- 4.6; interpretation: atherosclerotic change was associated with impaired distensibility.</w:t>
      </w:r>
    </w:p>
    <w:p>
      <w:pPr>
        <w:spacing w:after="120"/>
      </w:pPr>
      <w:r>
        <w:rPr>
          <w:b/>
        </w:rPr>
        <w:t xml:space="preserve">8. Numao et al., Pulsatile diameter change of coronary artery lumen estimated by IVUS, 1997. </w:t>
      </w:r>
      <w:hyperlink r:id="rId21">
        <w:r>
          <w:rPr>
            <w:color w:val="1A73E8"/>
            <w:u w:val="single"/>
          </w:rPr>
          <w:t>https://pubmed.ncbi.nlm.nih.gov/9253689/</w:t>
        </w:r>
      </w:hyperlink>
      <w:r>
        <w:br/>
        <w:t>Context used: control mean diameter change mm: 0.13 +/- 0.12; control end diastolic diameter mm: 4.52 +/- 0.51; CAD mean diameter change mm: 0.05 +/- 0.18; CAD end diastolic diameter mm: 4.53 +/- 0.69.</w:t>
      </w:r>
    </w:p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EAF2FB"/>
          </w:tcPr>
          <w:p>
            <w:r>
              <w:rPr>
                <w:b/>
                <w:color w:val="17324D"/>
              </w:rPr>
              <w:t xml:space="preserve">Final statement  </w:t>
            </w:r>
            <w:r>
              <w:t>This case passes the implemented engineering checks and is anatomically plausible as a three-branch major-vessel LCA scaffold. It is not a complete coronary tree, a patient-specific reconstruction, or a clinically validated model.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691" w:right="835" w:bottom="691" w:left="835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Major-vessel LCA scaffold • not for clinical use                                  </w:t>
    </w:r>
    <w:r>
      <w:rPr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F6368"/>
        <w:sz w:val="16"/>
      </w:rPr>
      <w:t>CORONARY4D  |  healthy_reference  |  RESEARCH VALIDATION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732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4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pubmed.ncbi.nlm.nih.gov/37829965/" TargetMode="External"/><Relationship Id="rId15" Type="http://schemas.openxmlformats.org/officeDocument/2006/relationships/hyperlink" Target="https://pubmed.ncbi.nlm.nih.gov/36944018/" TargetMode="External"/><Relationship Id="rId16" Type="http://schemas.openxmlformats.org/officeDocument/2006/relationships/hyperlink" Target="https://pubmed.ncbi.nlm.nih.gov/17035869/" TargetMode="External"/><Relationship Id="rId17" Type="http://schemas.openxmlformats.org/officeDocument/2006/relationships/hyperlink" Target="https://pubmed.ncbi.nlm.nih.gov/31779861/" TargetMode="External"/><Relationship Id="rId18" Type="http://schemas.openxmlformats.org/officeDocument/2006/relationships/hyperlink" Target="https://pubmed.ncbi.nlm.nih.gov/24098082/" TargetMode="External"/><Relationship Id="rId19" Type="http://schemas.openxmlformats.org/officeDocument/2006/relationships/hyperlink" Target="https://pubmed.ncbi.nlm.nih.gov/8043342/" TargetMode="External"/><Relationship Id="rId20" Type="http://schemas.openxmlformats.org/officeDocument/2006/relationships/hyperlink" Target="https://pubmed.ncbi.nlm.nih.gov/7796499/" TargetMode="External"/><Relationship Id="rId21" Type="http://schemas.openxmlformats.org/officeDocument/2006/relationships/hyperlink" Target="https://pubmed.ncbi.nlm.nih.gov/925368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healthy_reference quantitative coronary tree validation report</dc:title>
  <dc:subject>Anatomy, disease, tortuosity, motion and pulsatility audit</dc:subject>
  <dc:creator>Coronary4D vessel tree generator</dc:creator>
  <cp:keywords>LCA, LMCA, LAD, LCX, coronary, motion, pulsatility, stenosis, validation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