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39C45" w14:textId="55F6FED3" w:rsidR="00C50A72" w:rsidRDefault="00EC39E5" w:rsidP="00EF6B5A">
      <w:pPr>
        <w:jc w:val="both"/>
        <w:rPr>
          <w:b/>
          <w:bCs/>
        </w:rPr>
      </w:pPr>
      <w:r w:rsidRPr="00EC39E5">
        <w:rPr>
          <w:b/>
          <w:bCs/>
        </w:rPr>
        <w:t xml:space="preserve">Written Report on </w:t>
      </w:r>
      <w:proofErr w:type="spellStart"/>
      <w:r w:rsidRPr="00EC39E5">
        <w:rPr>
          <w:b/>
          <w:bCs/>
        </w:rPr>
        <w:t>pyCitySchools</w:t>
      </w:r>
      <w:proofErr w:type="spellEnd"/>
      <w:r w:rsidRPr="00EC39E5">
        <w:rPr>
          <w:b/>
          <w:bCs/>
        </w:rPr>
        <w:t xml:space="preserve"> challenge</w:t>
      </w:r>
    </w:p>
    <w:p w14:paraId="7F9AD26B" w14:textId="7187570B" w:rsidR="00EC39E5" w:rsidRDefault="00EC39E5" w:rsidP="00EF6B5A">
      <w:pPr>
        <w:jc w:val="both"/>
        <w:rPr>
          <w:b/>
          <w:bCs/>
        </w:rPr>
      </w:pPr>
    </w:p>
    <w:p w14:paraId="214B397B" w14:textId="011F322B" w:rsidR="00EC39E5" w:rsidRDefault="00EC39E5" w:rsidP="00EF6B5A">
      <w:pPr>
        <w:jc w:val="both"/>
      </w:pPr>
      <w:r>
        <w:t>Summary:</w:t>
      </w:r>
    </w:p>
    <w:p w14:paraId="70232AB8" w14:textId="2145CA97" w:rsidR="00EC39E5" w:rsidRDefault="00AC7AC7" w:rsidP="00EF6B5A">
      <w:pPr>
        <w:jc w:val="both"/>
        <w:rPr>
          <w:rFonts w:cstheme="minorHAnsi"/>
          <w:color w:val="000000" w:themeColor="text1"/>
        </w:rPr>
      </w:pPr>
      <w:r>
        <w:t xml:space="preserve">* </w:t>
      </w:r>
      <w:r w:rsidR="00EC39E5">
        <w:t>Th</w:t>
      </w:r>
      <w:r w:rsidR="00A50046">
        <w:t xml:space="preserve">is analysis was done to </w:t>
      </w:r>
      <w:r w:rsidR="00A50046" w:rsidRPr="00A50046">
        <w:rPr>
          <w:rFonts w:cstheme="minorHAnsi"/>
          <w:color w:val="000000" w:themeColor="text1"/>
        </w:rPr>
        <w:t>aggregate the data to showcase trends in school performance.</w:t>
      </w:r>
      <w:r w:rsidR="00A50046">
        <w:rPr>
          <w:rFonts w:cstheme="minorHAnsi"/>
          <w:color w:val="000000" w:themeColor="text1"/>
        </w:rPr>
        <w:t xml:space="preserve"> A dataset was provided which contains the details of each school considered for the analysis. </w:t>
      </w:r>
      <w:r>
        <w:rPr>
          <w:rFonts w:cstheme="minorHAnsi"/>
          <w:color w:val="000000" w:themeColor="text1"/>
        </w:rPr>
        <w:t xml:space="preserve">The key metrics for the analysis were school type, total students, total school budget, per student budget, average maths score, average reading score, percentage of students who passed maths, </w:t>
      </w:r>
      <w:r>
        <w:rPr>
          <w:rFonts w:cstheme="minorHAnsi"/>
          <w:color w:val="000000" w:themeColor="text1"/>
        </w:rPr>
        <w:t xml:space="preserve">percentage of students who passed </w:t>
      </w:r>
      <w:r>
        <w:rPr>
          <w:rFonts w:cstheme="minorHAnsi"/>
          <w:color w:val="000000" w:themeColor="text1"/>
        </w:rPr>
        <w:t>reading and overall percentage of students who passed both maths and reading.</w:t>
      </w:r>
    </w:p>
    <w:p w14:paraId="3CDB290D" w14:textId="4D2F0CCF" w:rsidR="00AC7AC7" w:rsidRDefault="00AC7AC7" w:rsidP="00EF6B5A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* Initially a Local Government Area summary data frame was created to identify the area’s key metrics.</w:t>
      </w:r>
    </w:p>
    <w:p w14:paraId="578DD41A" w14:textId="7D73B388" w:rsidR="00AC7AC7" w:rsidRDefault="00AC7AC7" w:rsidP="00EF6B5A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* Next, a per school summary data frame was created to identify the key metrics about each school.</w:t>
      </w:r>
    </w:p>
    <w:p w14:paraId="5CA388DC" w14:textId="7E5CF14C" w:rsidR="00AC7AC7" w:rsidRDefault="00AC7AC7" w:rsidP="00EF6B5A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* Then the top 5 and bottom 5 performing schools were identified based on overall passing percentage.</w:t>
      </w:r>
    </w:p>
    <w:p w14:paraId="1959D695" w14:textId="1B819CAB" w:rsidR="00AC7AC7" w:rsidRDefault="00AC7AC7" w:rsidP="00EF6B5A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* The year wise average maths and reading scores were calculated for each school for each year – 9, 10, 11 and 12.</w:t>
      </w:r>
    </w:p>
    <w:p w14:paraId="56641DCB" w14:textId="621937A8" w:rsidR="00AC7AC7" w:rsidRPr="00A50046" w:rsidRDefault="00AC7AC7" w:rsidP="00EF6B5A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* </w:t>
      </w:r>
      <w:r>
        <w:rPr>
          <w:rFonts w:ascii="Roboto" w:hAnsi="Roboto"/>
          <w:color w:val="2B2B2B"/>
          <w:sz w:val="30"/>
          <w:szCs w:val="30"/>
        </w:rPr>
        <w:t> </w:t>
      </w:r>
      <w:r>
        <w:rPr>
          <w:rFonts w:cstheme="minorHAnsi"/>
        </w:rPr>
        <w:t>Data frames were created to b</w:t>
      </w:r>
      <w:r w:rsidRPr="00AC7AC7">
        <w:rPr>
          <w:rFonts w:cstheme="minorHAnsi"/>
        </w:rPr>
        <w:t>reak down school performance based on average spending ranges (per student)</w:t>
      </w:r>
      <w:r>
        <w:rPr>
          <w:rFonts w:cstheme="minorHAnsi"/>
        </w:rPr>
        <w:t>, school size and school type.</w:t>
      </w:r>
    </w:p>
    <w:p w14:paraId="4953B60E" w14:textId="7E25182F" w:rsidR="00EC39E5" w:rsidRDefault="00EC39E5" w:rsidP="00EF6B5A">
      <w:pPr>
        <w:jc w:val="both"/>
      </w:pPr>
      <w:r>
        <w:t>Conclusion:</w:t>
      </w:r>
    </w:p>
    <w:p w14:paraId="6D13D2E7" w14:textId="4FFB51A5" w:rsidR="00EC39E5" w:rsidRDefault="00EC39E5" w:rsidP="00EF6B5A">
      <w:pPr>
        <w:jc w:val="both"/>
      </w:pPr>
      <w:r>
        <w:t>The following two conclusions were drawn from the calculations</w:t>
      </w:r>
    </w:p>
    <w:p w14:paraId="7777FDC8" w14:textId="4F30C01F" w:rsidR="00EC39E5" w:rsidRDefault="00EC39E5" w:rsidP="00EF6B5A">
      <w:pPr>
        <w:jc w:val="both"/>
      </w:pPr>
      <w:r>
        <w:t xml:space="preserve">1) </w:t>
      </w:r>
      <w:r w:rsidR="00EF6B5A">
        <w:t xml:space="preserve">Higher the school size, the overall </w:t>
      </w:r>
      <w:r w:rsidR="00EF6B5A">
        <w:t>passing</w:t>
      </w:r>
      <w:r w:rsidR="00EF6B5A">
        <w:t xml:space="preserve"> percentage was decreasing. This indicates that the schools with less than 1000 or 1000 – 2000 students are able to give students more attention and have a better overall </w:t>
      </w:r>
      <w:r w:rsidR="00EF6B5A">
        <w:t xml:space="preserve">passing </w:t>
      </w:r>
      <w:r w:rsidR="00EF6B5A">
        <w:t>percentage.</w:t>
      </w:r>
    </w:p>
    <w:p w14:paraId="0A942C47" w14:textId="200FFFDE" w:rsidR="00EC39E5" w:rsidRDefault="00EC39E5" w:rsidP="00EF6B5A">
      <w:pPr>
        <w:jc w:val="both"/>
      </w:pPr>
      <w:r>
        <w:t xml:space="preserve">2) </w:t>
      </w:r>
      <w:r w:rsidR="00EF6B5A">
        <w:t xml:space="preserve">The Independent school type has a higher overall passing percentage when compared to the Government school type. It can be observed that all the </w:t>
      </w:r>
      <w:proofErr w:type="gramStart"/>
      <w:r w:rsidR="00EF6B5A">
        <w:t>Independent</w:t>
      </w:r>
      <w:proofErr w:type="gramEnd"/>
      <w:r w:rsidR="00EF6B5A">
        <w:t xml:space="preserve"> schools also have a size of less than 2000 students which can be a factor for the higher overall passing percentage.</w:t>
      </w:r>
    </w:p>
    <w:p w14:paraId="0AAD652F" w14:textId="77777777" w:rsidR="00EC39E5" w:rsidRPr="00EC39E5" w:rsidRDefault="00EC39E5" w:rsidP="00EC39E5"/>
    <w:p w14:paraId="3BEEDF3D" w14:textId="77777777" w:rsidR="00EC39E5" w:rsidRPr="00EC39E5" w:rsidRDefault="00EC39E5" w:rsidP="00EC39E5">
      <w:pPr>
        <w:rPr>
          <w:b/>
          <w:bCs/>
        </w:rPr>
      </w:pPr>
    </w:p>
    <w:sectPr w:rsidR="00EC39E5" w:rsidRPr="00EC3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03E"/>
    <w:rsid w:val="00472467"/>
    <w:rsid w:val="004E203E"/>
    <w:rsid w:val="00A50046"/>
    <w:rsid w:val="00AC7AC7"/>
    <w:rsid w:val="00C50A72"/>
    <w:rsid w:val="00E235E7"/>
    <w:rsid w:val="00EC39E5"/>
    <w:rsid w:val="00EF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D79AC"/>
  <w15:chartTrackingRefBased/>
  <w15:docId w15:val="{6BE94AE2-8CBF-4020-8A48-DB1FE5B4B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S</dc:creator>
  <cp:keywords/>
  <dc:description/>
  <cp:lastModifiedBy>Anjana S</cp:lastModifiedBy>
  <cp:revision>2</cp:revision>
  <dcterms:created xsi:type="dcterms:W3CDTF">2022-12-14T04:29:00Z</dcterms:created>
  <dcterms:modified xsi:type="dcterms:W3CDTF">2022-12-14T06:11:00Z</dcterms:modified>
</cp:coreProperties>
</file>