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sz w:val="26"/>
          <w:szCs w:val="26"/>
        </w:rPr>
      </w:pPr>
      <w:r>
        <w:rPr>
          <w:sz w:val="26"/>
          <w:szCs w:val="26"/>
        </w:rPr>
        <w:t>Deep Learning Project Report: Fashion-MNIST Image Classifier (CNN)</w:t>
      </w:r>
    </w:p>
    <w:p>
      <w:pPr>
        <w:pStyle w:val="Heading2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Introduction and Approach</w:t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1.1 Objective and Rationale</w:t>
      </w:r>
    </w:p>
    <w:p>
      <w:pPr>
        <w:pStyle w:val="BodyText"/>
        <w:bidi w:val="0"/>
        <w:jc w:val="start"/>
        <w:rPr/>
      </w:pPr>
      <w:r>
        <w:rPr>
          <w:sz w:val="20"/>
          <w:szCs w:val="20"/>
        </w:rPr>
        <w:t xml:space="preserve">The objective was to develop and evaluate a Convolutional Neural Network (CNN) for the multi-class classification of Fashion-MNIST images. A CNN was chosen for its superior ability to </w:t>
      </w:r>
      <w:r>
        <w:rPr>
          <w:rStyle w:val="Strong"/>
          <w:sz w:val="20"/>
          <w:szCs w:val="20"/>
        </w:rPr>
        <w:t>automatically learn spatial features</w:t>
      </w:r>
      <w:r>
        <w:rPr>
          <w:sz w:val="20"/>
          <w:szCs w:val="20"/>
        </w:rPr>
        <w:t xml:space="preserve"> (edges, textures, and shapes), crucial for high performance in image tasks.</w:t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1.2 Data Preprocessing</w:t>
      </w:r>
    </w:p>
    <w:p>
      <w:pPr>
        <w:pStyle w:val="BodyText"/>
        <w:bidi w:val="0"/>
        <w:ind w:hanging="0" w:start="0" w:end="0"/>
        <w:jc w:val="start"/>
        <w:rPr>
          <w:sz w:val="20"/>
          <w:szCs w:val="20"/>
        </w:rPr>
      </w:pPr>
      <w:r>
        <w:rPr>
          <w:sz w:val="20"/>
          <w:szCs w:val="20"/>
        </w:rPr>
        <w:t>The dataset of 70,000 images (28×28 grayscale) underwent rigorous preprocessing: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0"/>
          <w:szCs w:val="20"/>
        </w:rPr>
        <w:t>Normalization:</w:t>
      </w:r>
      <w:r>
        <w:rPr>
          <w:sz w:val="20"/>
          <w:szCs w:val="20"/>
        </w:rPr>
        <w:t xml:space="preserve"> Pixel values (0-255) were scaled to 0.0</w:t>
      </w:r>
      <w:r>
        <w:rPr>
          <w:rStyle w:val="Strong"/>
          <w:sz w:val="20"/>
          <w:szCs w:val="20"/>
        </w:rPr>
        <w:t xml:space="preserve"> to </w:t>
      </w:r>
      <w:r>
        <w:rPr>
          <w:sz w:val="20"/>
          <w:szCs w:val="20"/>
        </w:rPr>
        <w:t>1.0.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0"/>
          <w:szCs w:val="20"/>
        </w:rPr>
        <w:t>Reshaping:</w:t>
      </w:r>
      <w:r>
        <w:rPr>
          <w:sz w:val="20"/>
          <w:szCs w:val="20"/>
        </w:rPr>
        <w:t xml:space="preserve"> Images were formatted to (N,28,28,1) for Conv2D input.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0"/>
          <w:szCs w:val="20"/>
        </w:rPr>
        <w:t>Splitting:</w:t>
      </w:r>
      <w:r>
        <w:rPr>
          <w:sz w:val="20"/>
          <w:szCs w:val="20"/>
        </w:rPr>
        <w:t xml:space="preserve"> The training data was split into a </w:t>
      </w:r>
      <w:r>
        <w:rPr>
          <w:rStyle w:val="Strong"/>
          <w:sz w:val="20"/>
          <w:szCs w:val="20"/>
        </w:rPr>
        <w:t>Training Set</w:t>
      </w:r>
      <w:r>
        <w:rPr>
          <w:sz w:val="20"/>
          <w:szCs w:val="20"/>
        </w:rPr>
        <w:t xml:space="preserve"> and a </w:t>
      </w:r>
      <w:r>
        <w:rPr>
          <w:rStyle w:val="Strong"/>
          <w:sz w:val="20"/>
          <w:szCs w:val="20"/>
        </w:rPr>
        <w:t>Validation Set</w:t>
      </w:r>
      <w:r>
        <w:rPr>
          <w:sz w:val="20"/>
          <w:szCs w:val="20"/>
        </w:rPr>
        <w:t xml:space="preserve"> to monitor generalization.</w:t>
      </w:r>
    </w:p>
    <w:p>
      <w:pPr>
        <w:pStyle w:val="Heading2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 Model Architecture and Training</w:t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2.1 Advanced CNN Architecture</w:t>
      </w:r>
    </w:p>
    <w:p>
      <w:pPr>
        <w:pStyle w:val="BodyText"/>
        <w:bidi w:val="0"/>
        <w:ind w:hanging="0" w:start="0" w:end="0"/>
        <w:jc w:val="start"/>
        <w:rPr/>
      </w:pPr>
      <w:r>
        <w:rPr>
          <w:sz w:val="20"/>
          <w:szCs w:val="20"/>
        </w:rPr>
        <w:t xml:space="preserve">The model uses a deep architecture incorporating </w:t>
      </w:r>
      <w:r>
        <w:rPr>
          <w:rStyle w:val="Strong"/>
          <w:sz w:val="20"/>
          <w:szCs w:val="20"/>
        </w:rPr>
        <w:t>Batch Normalization</w:t>
      </w:r>
      <w:r>
        <w:rPr>
          <w:sz w:val="20"/>
          <w:szCs w:val="20"/>
        </w:rPr>
        <w:t xml:space="preserve"> (BN) and </w:t>
      </w:r>
      <w:r>
        <w:rPr>
          <w:rStyle w:val="Strong"/>
          <w:sz w:val="20"/>
          <w:szCs w:val="20"/>
        </w:rPr>
        <w:t>Dropout</w:t>
      </w:r>
      <w:r>
        <w:rPr>
          <w:sz w:val="20"/>
          <w:szCs w:val="20"/>
        </w:rPr>
        <w:t xml:space="preserve"> for stabilization and regularization.</w:t>
      </w:r>
    </w:p>
    <w:tbl>
      <w:tblPr>
        <w:tblW w:w="766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3"/>
        <w:gridCol w:w="1386"/>
        <w:gridCol w:w="1540"/>
        <w:gridCol w:w="2318"/>
      </w:tblGrid>
      <w:tr>
        <w:trPr/>
        <w:tc>
          <w:tcPr>
            <w:tcW w:w="2423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Type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Filters/Units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Shape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Conv2D + BN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(28,28,32)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MaxPooling2D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(14,14,32)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 (25%)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Conv2D + BN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(14,14,64)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MaxPooling2D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(7,7,64)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 (25%)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Conv2D + BN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(7,7,128)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GlobalAveragePooling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(128)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Dense + BN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(256)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ReLU, Dropout (50%)</w:t>
            </w:r>
          </w:p>
        </w:tc>
      </w:tr>
      <w:tr>
        <w:trPr/>
        <w:tc>
          <w:tcPr>
            <w:tcW w:w="242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Dense (Output)</w:t>
            </w:r>
          </w:p>
        </w:tc>
        <w:tc>
          <w:tcPr>
            <w:tcW w:w="13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(10)</w:t>
            </w:r>
          </w:p>
        </w:tc>
        <w:tc>
          <w:tcPr>
            <w:tcW w:w="231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Softmax</w:t>
            </w:r>
          </w:p>
        </w:tc>
      </w:tr>
    </w:tbl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2.2 Training Strategy</w:t>
      </w:r>
    </w:p>
    <w:p>
      <w:pPr>
        <w:pStyle w:val="BodyText"/>
        <w:bidi w:val="0"/>
        <w:ind w:hanging="0" w:start="0" w:end="0"/>
        <w:jc w:val="start"/>
        <w:rPr/>
      </w:pPr>
      <w:r>
        <w:rPr>
          <w:sz w:val="20"/>
          <w:szCs w:val="20"/>
        </w:rPr>
        <w:t xml:space="preserve">The model was compiled with the </w:t>
      </w:r>
      <w:r>
        <w:rPr>
          <w:rStyle w:val="Strong"/>
          <w:sz w:val="20"/>
          <w:szCs w:val="20"/>
        </w:rPr>
        <w:t>Adam optimizer</w:t>
      </w:r>
      <w:r>
        <w:rPr>
          <w:sz w:val="20"/>
          <w:szCs w:val="20"/>
        </w:rPr>
        <w:t xml:space="preserve"> and Sparse Categorical Crossentropy loss. Advanced training included: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0"/>
          <w:szCs w:val="20"/>
        </w:rPr>
        <w:t>Learning Rate Scheduling (</w:t>
      </w:r>
      <w:r>
        <w:rPr>
          <w:sz w:val="20"/>
          <w:szCs w:val="20"/>
        </w:rPr>
        <w:t>ReduceLROnPlateau</w:t>
      </w:r>
      <w:r>
        <w:rPr>
          <w:rStyle w:val="Strong"/>
          <w:sz w:val="20"/>
          <w:szCs w:val="20"/>
        </w:rPr>
        <w:t>):</w:t>
      </w:r>
      <w:r>
        <w:rPr>
          <w:sz w:val="20"/>
          <w:szCs w:val="20"/>
        </w:rPr>
        <w:t xml:space="preserve"> Dynamically adjusted the learning rate, enabling rapid initial convergence and precise final optimization.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0"/>
          <w:szCs w:val="20"/>
        </w:rPr>
        <w:t>Early Stopping:</w:t>
      </w:r>
      <w:r>
        <w:rPr>
          <w:sz w:val="20"/>
          <w:szCs w:val="20"/>
        </w:rPr>
        <w:t xml:space="preserve"> Monitored validation loss and halted training effectively at </w:t>
      </w:r>
      <w:r>
        <w:rPr>
          <w:rStyle w:val="Strong"/>
          <w:sz w:val="20"/>
          <w:szCs w:val="20"/>
        </w:rPr>
        <w:t>Epoch 46</w:t>
      </w:r>
      <w:r>
        <w:rPr>
          <w:sz w:val="20"/>
          <w:szCs w:val="20"/>
        </w:rPr>
        <w:t>, ensuring the best-performing weights were restored.</w:t>
      </w:r>
    </w:p>
    <w:p>
      <w:pPr>
        <w:pStyle w:val="Heading2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3. Evaluation and Key Insights</w:t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3.1 Final Test Performance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The model was evaluated on the independent 10,000-image test set.</w:t>
      </w:r>
    </w:p>
    <w:tbl>
      <w:tblPr>
        <w:tblW w:w="309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65"/>
        <w:gridCol w:w="931"/>
      </w:tblGrid>
      <w:tr>
        <w:trPr/>
        <w:tc>
          <w:tcPr>
            <w:tcW w:w="2165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Heading"/>
              <w:bidi w:val="0"/>
              <w:spacing w:before="0" w:after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Final Test Accuracy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Strong"/>
                <w:sz w:val="20"/>
                <w:szCs w:val="20"/>
              </w:rPr>
              <w:t>93.50%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Test Loss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0.1817</w:t>
            </w:r>
          </w:p>
        </w:tc>
      </w:tr>
    </w:tbl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3.2 Training History </w:t>
      </w:r>
    </w:p>
    <w:p>
      <w:pPr>
        <w:pStyle w:val="BodyText"/>
        <w:bidi w:val="0"/>
        <w:ind w:hanging="0" w:start="0" w:end="0"/>
        <w:jc w:val="start"/>
        <w:rPr>
          <w:sz w:val="20"/>
          <w:szCs w:val="20"/>
        </w:rPr>
      </w:pPr>
      <w:r>
        <w:rPr>
          <w:sz w:val="20"/>
          <w:szCs w:val="20"/>
        </w:rPr>
        <w:t>The history plots confirm excellent generalization; training and validation curves track tightly, validating the effectiveness of Batch Normalization and Dropout in preventing overfitting.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-62865</wp:posOffset>
            </wp:positionV>
            <wp:extent cx="3277870" cy="13811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sz w:val="20"/>
          <w:szCs w:val="20"/>
        </w:rPr>
        <w:t xml:space="preserve">               </w:t>
      </w:r>
      <w:r>
        <w:rPr>
          <w:rStyle w:val="Strong"/>
          <w:sz w:val="20"/>
          <w:szCs w:val="20"/>
        </w:rPr>
        <w:t>Figure 1: Training and Validation History</w:t>
      </w:r>
    </w:p>
    <w:p>
      <w:pPr>
        <w:pStyle w:val="Heading3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3.3 Confusion Matrix Analysis 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The Confusion Matrix highlights class-specific performance, confirming the reliability of the model.</w:t>
      </w:r>
    </w:p>
    <w:p>
      <w:pPr>
        <w:pStyle w:val="BodyText"/>
        <w:bidi w:val="0"/>
        <w:jc w:val="start"/>
        <w:rPr/>
      </w:pPr>
      <w:r>
        <w:rPr>
          <w:rStyle w:val="Strong"/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</w:p>
    <w:p>
      <w:pPr>
        <w:pStyle w:val="BodyText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4192905</wp:posOffset>
            </wp:positionH>
            <wp:positionV relativeFrom="paragraph">
              <wp:posOffset>-41910</wp:posOffset>
            </wp:positionV>
            <wp:extent cx="2256790" cy="20161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  <w:sz w:val="20"/>
          <w:szCs w:val="20"/>
        </w:rPr>
        <w:t>Key Insights: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sz w:val="20"/>
          <w:szCs w:val="20"/>
        </w:rPr>
        <w:t>Strengths:</w:t>
      </w:r>
      <w:r>
        <w:rPr>
          <w:sz w:val="20"/>
          <w:szCs w:val="20"/>
        </w:rPr>
        <w:t xml:space="preserve"> Categories with distinct silhouettes like </w:t>
      </w:r>
      <w:r>
        <w:rPr>
          <w:rStyle w:val="Strong"/>
          <w:sz w:val="20"/>
          <w:szCs w:val="20"/>
        </w:rPr>
        <w:t>Trouser (</w:t>
      </w:r>
      <w:r>
        <w:rPr>
          <w:sz w:val="20"/>
          <w:szCs w:val="20"/>
        </w:rPr>
        <w:t>0.99</w:t>
      </w:r>
      <w:r>
        <w:rPr>
          <w:rStyle w:val="Strong"/>
          <w:sz w:val="20"/>
          <w:szCs w:val="20"/>
        </w:rPr>
        <w:t xml:space="preserve"> F1-score)</w:t>
      </w:r>
      <w:r>
        <w:rPr>
          <w:sz w:val="20"/>
          <w:szCs w:val="20"/>
        </w:rPr>
        <w:t xml:space="preserve"> and </w:t>
      </w:r>
      <w:r>
        <w:rPr>
          <w:rStyle w:val="Strong"/>
          <w:sz w:val="20"/>
          <w:szCs w:val="20"/>
        </w:rPr>
        <w:t>Bag (</w:t>
      </w:r>
      <w:r>
        <w:rPr>
          <w:sz w:val="20"/>
          <w:szCs w:val="20"/>
        </w:rPr>
        <w:t>0.99</w:t>
      </w:r>
      <w:r>
        <w:rPr>
          <w:rStyle w:val="Strong"/>
          <w:sz w:val="20"/>
          <w:szCs w:val="20"/>
        </w:rPr>
        <w:t xml:space="preserve"> F1-score)</w:t>
      </w:r>
      <w:r>
        <w:rPr>
          <w:sz w:val="20"/>
          <w:szCs w:val="20"/>
        </w:rPr>
        <w:t xml:space="preserve"> were classified almost perfectly.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0"/>
          <w:szCs w:val="20"/>
        </w:rPr>
        <w:t>Weaknesses:</w:t>
      </w:r>
      <w:r>
        <w:rPr>
          <w:sz w:val="20"/>
          <w:szCs w:val="20"/>
        </w:rPr>
        <w:t xml:space="preserve"> The highest confusion is concentrated between subtle top-wear garments. </w:t>
      </w:r>
      <w:r>
        <w:rPr>
          <w:rStyle w:val="Strong"/>
          <w:sz w:val="20"/>
          <w:szCs w:val="20"/>
        </w:rPr>
        <w:t>Shirt (Class 6)</w:t>
      </w:r>
      <w:r>
        <w:rPr>
          <w:sz w:val="20"/>
          <w:szCs w:val="20"/>
        </w:rPr>
        <w:t xml:space="preserve"> is most frequently misclassified as </w:t>
      </w:r>
      <w:r>
        <w:rPr>
          <w:rStyle w:val="Strong"/>
          <w:sz w:val="20"/>
          <w:szCs w:val="20"/>
        </w:rPr>
        <w:t>T-shirt/top (Class 0)</w:t>
      </w:r>
      <w:r>
        <w:rPr>
          <w:sz w:val="20"/>
          <w:szCs w:val="20"/>
        </w:rPr>
        <w:t xml:space="preserve"> (114 instances), highlighting the intrinsic challenge of low-resolution grayscale image classification.</w:t>
      </w:r>
    </w:p>
    <w:p>
      <w:pPr>
        <w:pStyle w:val="Heading2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>
        <w:rPr>
          <w:rStyle w:val="Strong"/>
          <w:sz w:val="20"/>
          <w:szCs w:val="20"/>
        </w:rPr>
        <w:t>Figure 2: Confusion Matrix</w:t>
      </w:r>
    </w:p>
    <w:p>
      <w:pPr>
        <w:pStyle w:val="Heading2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4. Conclusion and Future Work</w:t>
      </w:r>
    </w:p>
    <w:p>
      <w:pPr>
        <w:pStyle w:val="BodyText"/>
        <w:bidi w:val="0"/>
        <w:ind w:hanging="0" w:start="0" w:end="0"/>
        <w:jc w:val="start"/>
        <w:rPr>
          <w:sz w:val="20"/>
          <w:szCs w:val="20"/>
        </w:rPr>
      </w:pPr>
      <w:r>
        <w:rPr>
          <w:sz w:val="20"/>
          <w:szCs w:val="20"/>
        </w:rPr>
        <w:t>The CNN successfully completed the task with a high test accuracy of 93.50%. This result, achieved through a robust architecture incorporating Batch Normalization and optimized training, demonstrates mastery of deep learning implementation and evaluation.</w:t>
      </w:r>
    </w:p>
    <w:p>
      <w:pPr>
        <w:pStyle w:val="BodyText"/>
        <w:bidi w:val="0"/>
        <w:jc w:val="start"/>
        <w:rPr/>
      </w:pPr>
      <w:r>
        <w:rPr>
          <w:rStyle w:val="Strong"/>
          <w:sz w:val="20"/>
          <w:szCs w:val="20"/>
        </w:rPr>
        <w:t>Future Enhancements: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0"/>
          <w:szCs w:val="20"/>
        </w:rPr>
        <w:t>Data Augmentation:</w:t>
      </w:r>
      <w:r>
        <w:rPr>
          <w:sz w:val="20"/>
          <w:szCs w:val="20"/>
        </w:rPr>
        <w:t xml:space="preserve"> Introduce slight rotations and shifts on the training images to increase the model's invariance to real-world variations.</w:t>
      </w:r>
    </w:p>
    <w:p>
      <w:pPr>
        <w:pStyle w:val="BodyText"/>
        <w:bidi w:val="0"/>
        <w:jc w:val="start"/>
        <w:rPr/>
      </w:pPr>
      <w:r>
        <w:rPr>
          <w:rStyle w:val="Strong"/>
          <w:sz w:val="20"/>
          <w:szCs w:val="20"/>
        </w:rPr>
        <w:t>Optional: Misclassified Images</w:t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-27940</wp:posOffset>
            </wp:positionH>
            <wp:positionV relativeFrom="paragraph">
              <wp:posOffset>-7620</wp:posOffset>
            </wp:positionV>
            <wp:extent cx="4973955" cy="28613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sz w:val="20"/>
          <w:szCs w:val="20"/>
        </w:rPr>
        <w:t xml:space="preserve"> </w:t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20"/>
          <w:szCs w:val="20"/>
        </w:rPr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  <w:sz w:val="20"/>
          <w:szCs w:val="20"/>
        </w:rPr>
        <w:t xml:space="preserve">                                          </w:t>
      </w:r>
      <w:r>
        <w:rPr>
          <w:rStyle w:val="Strong"/>
          <w:sz w:val="20"/>
          <w:szCs w:val="20"/>
        </w:rPr>
        <w:t>Figure 3: Examples of Misclassified Images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3</Pages>
  <Words>447</Words>
  <Characters>2816</Characters>
  <CharactersWithSpaces>3385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2025-10-16T21:33:43Z</dcterms:created>
  <dc:creator/>
  <dc:description/>
  <dc:language>en-US</dc:language>
  <cp:lastModifiedBy/>
  <dcterms:modified xsi:type="dcterms:W3CDTF">2025-10-17T03:34:02Z</dcterms:modified>
  <cp:revision>2</cp:revision>
  <dc:subject/>
  <dc:title/>
</cp:coreProperties>
</file>