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kounga-solutions"/>
    <w:p>
      <w:pPr>
        <w:pStyle w:val="Heading1"/>
      </w:pPr>
      <w:r>
        <w:t xml:space="preserve">Kounga Solutions</w:t>
      </w:r>
    </w:p>
    <w:bookmarkStart w:id="20" w:name="Xa22e0f2288c914049e74ed3e5bf948582c3bd26"/>
    <w:p>
      <w:pPr>
        <w:pStyle w:val="Heading2"/>
      </w:pPr>
      <w:r>
        <w:t xml:space="preserve">Application Portfolio for Cybersecurity Assurance Mentoring</w:t>
      </w:r>
    </w:p>
    <w:p>
      <w:pPr>
        <w:pStyle w:val="FirstParagraph"/>
      </w:pPr>
      <w:r>
        <w:rPr>
          <w:b/>
          <w:bCs/>
        </w:rPr>
        <w:t xml:space="preserve">Prepared for:</w:t>
      </w:r>
      <w:r>
        <w:t xml:space="preserve"> </w:t>
      </w:r>
      <w:r>
        <w:t xml:space="preserve">Security Governance Team Lead / mentor</w:t>
      </w:r>
      <w:r>
        <w:br/>
      </w:r>
      <w:r>
        <w:rPr>
          <w:b/>
          <w:bCs/>
        </w:rPr>
        <w:t xml:space="preserve">Purpose:</w:t>
      </w:r>
      <w:r>
        <w:t xml:space="preserve"> </w:t>
      </w:r>
      <w:r>
        <w:t xml:space="preserve">Select two or three practical, supervised security assurance projects for an aspiring cybersecurity analyst</w:t>
      </w:r>
      <w:r>
        <w:br/>
      </w:r>
      <w:r>
        <w:rPr>
          <w:b/>
          <w:bCs/>
        </w:rPr>
        <w:t xml:space="preserve">Evidence date:</w:t>
      </w:r>
      <w:r>
        <w:t xml:space="preserve"> </w:t>
      </w:r>
      <w:r>
        <w:t xml:space="preserve">17 October 2026</w:t>
      </w:r>
      <w:r>
        <w:br/>
      </w:r>
      <w:r>
        <w:rPr>
          <w:b/>
          <w:bCs/>
        </w:rPr>
        <w:t xml:space="preserve">Classification:</w:t>
      </w:r>
      <w:r>
        <w:t xml:space="preserve"> </w:t>
      </w:r>
      <w:r>
        <w:t xml:space="preserve">Confidential — limited mentoring circulation; review client-specific sharing permissions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Kounga Solutions has identified six distinct applications that can provide real-world learning opportunities in application security assurance, risk and compliance, privacy/data governance, third-party assurance and secure development practices. The candidate analyst has completed a Diploma in Cyber Security and Cloud Computing and CompTIA Security+ certification, and brings previous quality assurance experience. The objective is to move from academic knowledge to evidence-based work: gathering evidence, assessing controls against defined criteria, identifying unknowns, recording risks, recommending proportionate action and presenting conclusions for review.</w:t>
      </w:r>
    </w:p>
    <w:p>
      <w:pPr>
        <w:pStyle w:val="BodyText"/>
      </w:pPr>
      <w:r>
        <w:t xml:space="preserve">This portfolio is</w:t>
      </w:r>
      <w:r>
        <w:t xml:space="preserve"> </w:t>
      </w:r>
      <w:r>
        <w:rPr>
          <w:b/>
          <w:bCs/>
        </w:rPr>
        <w:t xml:space="preserve">not</w:t>
      </w:r>
      <w:r>
        <w:t xml:space="preserve"> </w:t>
      </w:r>
      <w:r>
        <w:t xml:space="preserve">a security audit or a list of confirmed vulnerabilities. It consolidates six repository-based technical discovery briefs. The underlying reviews did</w:t>
      </w:r>
      <w:r>
        <w:t xml:space="preserve"> </w:t>
      </w:r>
      <w:r>
        <w:rPr>
          <w:b/>
          <w:bCs/>
        </w:rPr>
        <w:t xml:space="preserve">not</w:t>
      </w:r>
      <w:r>
        <w:t xml:space="preserve"> </w:t>
      </w:r>
      <w:r>
        <w:t xml:space="preserve">access production systems or verify live cloud controls. Observed code and configuration establish potential control designs—not necessarily operating effectiveness. Suggested assignments are</w:t>
      </w:r>
      <w:r>
        <w:t xml:space="preserve"> </w:t>
      </w:r>
      <w:r>
        <w:rPr>
          <w:b/>
          <w:bCs/>
        </w:rPr>
        <w:t xml:space="preserve">proposals for the mentor to scope</w:t>
      </w:r>
      <w:r>
        <w:t xml:space="preserve">, not pre-completed assessments.</w:t>
      </w:r>
    </w:p>
    <w:p>
      <w:pPr>
        <w:pStyle w:val="BodyText"/>
      </w:pPr>
      <w:r>
        <w:rPr>
          <w:b/>
          <w:bCs/>
        </w:rPr>
        <w:t xml:space="preserve">Recommended learning progression:</w:t>
      </w:r>
      <w:r>
        <w:t xml:space="preserve"> </w:t>
      </w:r>
      <w:r>
        <w:t xml:space="preserve">Start with</w:t>
      </w:r>
      <w:r>
        <w:t xml:space="preserve"> </w:t>
      </w:r>
      <w:r>
        <w:rPr>
          <w:b/>
          <w:bCs/>
        </w:rPr>
        <w:t xml:space="preserve">Marin Integration API</w:t>
      </w:r>
      <w:r>
        <w:t xml:space="preserve"> </w:t>
      </w:r>
      <w:r>
        <w:t xml:space="preserve">(bounded API control review), proceed to</w:t>
      </w:r>
      <w:r>
        <w:t xml:space="preserve"> </w:t>
      </w:r>
      <w:r>
        <w:rPr>
          <w:b/>
          <w:bCs/>
        </w:rPr>
        <w:t xml:space="preserve">PerkyLoop or Karate Club Management</w:t>
      </w:r>
      <w:r>
        <w:t xml:space="preserve"> </w:t>
      </w:r>
      <w:r>
        <w:t xml:space="preserve">(roles, privacy and multi-party workflows), and finish with</w:t>
      </w:r>
      <w:r>
        <w:t xml:space="preserve"> </w:t>
      </w:r>
      <w:r>
        <w:rPr>
          <w:b/>
          <w:bCs/>
        </w:rPr>
        <w:t xml:space="preserve">Kounga Engage or TripMate</w:t>
      </w:r>
      <w:r>
        <w:t xml:space="preserve"> </w:t>
      </w:r>
      <w:r>
        <w:t xml:space="preserve">(complex provider/AI assurance or offline-sensitive-data lifecycle).</w:t>
      </w:r>
      <w:r>
        <w:t xml:space="preserve"> </w:t>
      </w:r>
      <w:r>
        <w:rPr>
          <w:b/>
          <w:bCs/>
        </w:rPr>
        <w:t xml:space="preserve">Dumb or Genius</w:t>
      </w:r>
      <w:r>
        <w:t xml:space="preserve"> </w:t>
      </w:r>
      <w:r>
        <w:t xml:space="preserve">is a valuable alternative for moderation governance and client-to-database authorisation. The mentor should select based on which skills she wants to develop and which evidence and test environments can safely be made available.</w:t>
      </w:r>
    </w:p>
    <w:bookmarkEnd w:id="21"/>
    <w:bookmarkStart w:id="22" w:name="portfolio-comparison-at-a-glance"/>
    <w:p>
      <w:pPr>
        <w:pStyle w:val="Heading2"/>
      </w:pPr>
      <w:r>
        <w:t xml:space="preserve">2. Portfolio comparison at a glance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Application</w:t>
            </w:r>
          </w:p>
        </w:tc>
        <w:tc>
          <w:tcPr/>
          <w:p>
            <w:pPr>
              <w:pStyle w:val="Compact"/>
              <w:jc w:val="left"/>
            </w:pPr>
            <w:r>
              <w:t xml:space="preserve">Main business function</w:t>
            </w:r>
          </w:p>
        </w:tc>
        <w:tc>
          <w:tcPr/>
          <w:p>
            <w:pPr>
              <w:pStyle w:val="Compact"/>
              <w:jc w:val="left"/>
            </w:pPr>
            <w:r>
              <w:t xml:space="preserve">Platform and architecture</w:t>
            </w:r>
          </w:p>
        </w:tc>
        <w:tc>
          <w:tcPr/>
          <w:p>
            <w:pPr>
              <w:pStyle w:val="Compact"/>
              <w:jc w:val="left"/>
            </w:pPr>
            <w:r>
              <w:t xml:space="preserve">Data / trust considerations</w:t>
            </w:r>
          </w:p>
        </w:tc>
        <w:tc>
          <w:tcPr/>
          <w:p>
            <w:pPr>
              <w:pStyle w:val="Compact"/>
              <w:jc w:val="left"/>
            </w:pPr>
            <w:r>
              <w:t xml:space="preserve">Complexity*</w:t>
            </w:r>
          </w:p>
        </w:tc>
        <w:tc>
          <w:tcPr/>
          <w:p>
            <w:pPr>
              <w:pStyle w:val="Compact"/>
              <w:jc w:val="left"/>
            </w:pPr>
            <w:r>
              <w:t xml:space="preserve">Distinctive assessment angle</w:t>
            </w:r>
          </w:p>
        </w:tc>
      </w:tr>
      <w:tr>
        <w:tc>
          <w:tcPr/>
          <w:p>
            <w:pPr>
              <w:pStyle w:val="Compact"/>
              <w:jc w:val="left"/>
            </w:pPr>
            <w:r>
              <w:rPr>
                <w:b/>
                <w:bCs/>
              </w:rPr>
              <w:t xml:space="preserve">Marin Integration API</w:t>
            </w:r>
          </w:p>
        </w:tc>
        <w:tc>
          <w:tcPr/>
          <w:p>
            <w:pPr>
              <w:pStyle w:val="Compact"/>
              <w:jc w:val="left"/>
            </w:pPr>
            <w:r>
              <w:t xml:space="preserve">Read-only business inventory data for integration clients</w:t>
            </w:r>
          </w:p>
        </w:tc>
        <w:tc>
          <w:tcPr/>
          <w:p>
            <w:pPr>
              <w:pStyle w:val="Compact"/>
              <w:jc w:val="left"/>
            </w:pPr>
            <w:r>
              <w:t xml:space="preserve">Node.js/TypeScript, Express, SQL Server; Azure hosting described</w:t>
            </w:r>
          </w:p>
        </w:tc>
        <w:tc>
          <w:tcPr/>
          <w:p>
            <w:pPr>
              <w:pStyle w:val="Compact"/>
              <w:jc w:val="left"/>
            </w:pPr>
            <w:r>
              <w:t xml:space="preserve">Commercial site/product data, shared API key, database access</w:t>
            </w:r>
          </w:p>
        </w:tc>
        <w:tc>
          <w:tcPr/>
          <w:p>
            <w:pPr>
              <w:pStyle w:val="Compact"/>
              <w:jc w:val="left"/>
            </w:pPr>
            <w:r>
              <w:rPr>
                <w:b/>
                <w:bCs/>
              </w:rPr>
              <w:t xml:space="preserve">Low</w:t>
            </w:r>
          </w:p>
        </w:tc>
        <w:tc>
          <w:tcPr/>
          <w:p>
            <w:pPr>
              <w:pStyle w:val="Compact"/>
              <w:jc w:val="left"/>
            </w:pPr>
            <w:r>
              <w:t xml:space="preserve">API assurance, secrets, least privilege, deployment evidence</w:t>
            </w:r>
          </w:p>
        </w:tc>
      </w:tr>
      <w:tr>
        <w:tc>
          <w:tcPr/>
          <w:p>
            <w:pPr>
              <w:pStyle w:val="Compact"/>
              <w:jc w:val="left"/>
            </w:pPr>
            <w:r>
              <w:rPr>
                <w:b/>
                <w:bCs/>
              </w:rPr>
              <w:t xml:space="preserve">PerkyLoop</w:t>
            </w:r>
          </w:p>
        </w:tc>
        <w:tc>
          <w:tcPr/>
          <w:p>
            <w:pPr>
              <w:pStyle w:val="Compact"/>
              <w:jc w:val="left"/>
            </w:pPr>
            <w:r>
              <w:t xml:space="preserve">QR-based shop loyalty, rewards and subscriptions</w:t>
            </w:r>
          </w:p>
        </w:tc>
        <w:tc>
          <w:tcPr/>
          <w:p>
            <w:pPr>
              <w:pStyle w:val="Compact"/>
              <w:jc w:val="left"/>
            </w:pPr>
            <w:r>
              <w:t xml:space="preserve">Expo/React Native; Supabase Auth, PostgreSQL, Edge Functions; Stripe/Apple</w:t>
            </w:r>
          </w:p>
        </w:tc>
        <w:tc>
          <w:tcPr/>
          <w:p>
            <w:pPr>
              <w:pStyle w:val="Compact"/>
              <w:jc w:val="left"/>
            </w:pPr>
            <w:r>
              <w:t xml:space="preserve">Customer identities, loyalty ledger, merchant roles, payment metadata</w:t>
            </w:r>
          </w:p>
        </w:tc>
        <w:tc>
          <w:tcPr/>
          <w:p>
            <w:pPr>
              <w:pStyle w:val="Compact"/>
              <w:jc w:val="left"/>
            </w:pPr>
            <w:r>
              <w:rPr>
                <w:b/>
                <w:bCs/>
              </w:rPr>
              <w:t xml:space="preserve">Medium</w:t>
            </w:r>
          </w:p>
        </w:tc>
        <w:tc>
          <w:tcPr/>
          <w:p>
            <w:pPr>
              <w:pStyle w:val="Compact"/>
              <w:jc w:val="left"/>
            </w:pPr>
            <w:r>
              <w:t xml:space="preserve">Role/access matrix, transactional integrity, provider/payment governance</w:t>
            </w:r>
          </w:p>
        </w:tc>
      </w:tr>
      <w:tr>
        <w:tc>
          <w:tcPr/>
          <w:p>
            <w:pPr>
              <w:pStyle w:val="Compact"/>
              <w:jc w:val="left"/>
            </w:pPr>
            <w:r>
              <w:rPr>
                <w:b/>
                <w:bCs/>
              </w:rPr>
              <w:t xml:space="preserve">Dumb or Genius</w:t>
            </w:r>
          </w:p>
        </w:tc>
        <w:tc>
          <w:tcPr/>
          <w:p>
            <w:pPr>
              <w:pStyle w:val="Compact"/>
              <w:jc w:val="left"/>
            </w:pPr>
            <w:r>
              <w:t xml:space="preserve">Public idea sharing, voting and content moderation</w:t>
            </w:r>
          </w:p>
        </w:tc>
        <w:tc>
          <w:tcPr/>
          <w:p>
            <w:pPr>
              <w:pStyle w:val="Compact"/>
              <w:jc w:val="left"/>
            </w:pPr>
            <w:r>
              <w:t xml:space="preserve">Flutter; Firebase Auth, Firestore rules, App Check, Messaging</w:t>
            </w:r>
          </w:p>
        </w:tc>
        <w:tc>
          <w:tcPr/>
          <w:p>
            <w:pPr>
              <w:pStyle w:val="Compact"/>
              <w:jc w:val="left"/>
            </w:pPr>
            <w:r>
              <w:t xml:space="preserve">Public UGC, profiles, moderation privileges, reports and bans</w:t>
            </w:r>
          </w:p>
        </w:tc>
        <w:tc>
          <w:tcPr/>
          <w:p>
            <w:pPr>
              <w:pStyle w:val="Compact"/>
              <w:jc w:val="left"/>
            </w:pPr>
            <w:r>
              <w:rPr>
                <w:b/>
                <w:bCs/>
              </w:rPr>
              <w:t xml:space="preserve">Medium</w:t>
            </w:r>
          </w:p>
        </w:tc>
        <w:tc>
          <w:tcPr/>
          <w:p>
            <w:pPr>
              <w:pStyle w:val="Compact"/>
              <w:jc w:val="left"/>
            </w:pPr>
            <w:r>
              <w:t xml:space="preserve">Moderation and admin governance, rule-based access, account deletion</w:t>
            </w:r>
          </w:p>
        </w:tc>
      </w:tr>
      <w:tr>
        <w:tc>
          <w:tcPr/>
          <w:p>
            <w:pPr>
              <w:pStyle w:val="Compact"/>
              <w:jc w:val="left"/>
            </w:pPr>
            <w:r>
              <w:rPr>
                <w:b/>
                <w:bCs/>
              </w:rPr>
              <w:t xml:space="preserve">KoungaTripMate</w:t>
            </w:r>
          </w:p>
        </w:tc>
        <w:tc>
          <w:tcPr/>
          <w:p>
            <w:pPr>
              <w:pStyle w:val="Compact"/>
              <w:jc w:val="left"/>
            </w:pPr>
            <w:r>
              <w:t xml:space="preserve">Offline-first group travel planning and shared expenses</w:t>
            </w:r>
          </w:p>
        </w:tc>
        <w:tc>
          <w:tcPr/>
          <w:p>
            <w:pPr>
              <w:pStyle w:val="Compact"/>
              <w:jc w:val="left"/>
            </w:pPr>
            <w:r>
              <w:t xml:space="preserve">Flutter; local SQLite/Drift sync to Firebase and Storage</w:t>
            </w:r>
          </w:p>
        </w:tc>
        <w:tc>
          <w:tcPr/>
          <w:p>
            <w:pPr>
              <w:pStyle w:val="Compact"/>
              <w:jc w:val="left"/>
            </w:pPr>
            <w:r>
              <w:t xml:space="preserve">Travel itineraries, expenses, uploaded personal/travel documents</w:t>
            </w:r>
          </w:p>
        </w:tc>
        <w:tc>
          <w:tcPr/>
          <w:p>
            <w:pPr>
              <w:pStyle w:val="Compact"/>
              <w:jc w:val="left"/>
            </w:pPr>
            <w:r>
              <w:rPr>
                <w:b/>
                <w:bCs/>
              </w:rPr>
              <w:t xml:space="preserve">Medium</w:t>
            </w:r>
          </w:p>
        </w:tc>
        <w:tc>
          <w:tcPr/>
          <w:p>
            <w:pPr>
              <w:pStyle w:val="Compact"/>
              <w:jc w:val="left"/>
            </w:pPr>
            <w:r>
              <w:t xml:space="preserve">Offline/local data protection, sync and deletion, storage confidentiality</w:t>
            </w:r>
          </w:p>
        </w:tc>
      </w:tr>
      <w:tr>
        <w:tc>
          <w:tcPr/>
          <w:p>
            <w:pPr>
              <w:pStyle w:val="Compact"/>
              <w:jc w:val="left"/>
            </w:pPr>
            <w:r>
              <w:rPr>
                <w:b/>
                <w:bCs/>
              </w:rPr>
              <w:t xml:space="preserve">Karate Club Management</w:t>
            </w:r>
          </w:p>
        </w:tc>
        <w:tc>
          <w:tcPr/>
          <w:p>
            <w:pPr>
              <w:pStyle w:val="Compact"/>
              <w:jc w:val="left"/>
            </w:pPr>
            <w:r>
              <w:t xml:space="preserve">Multi-organisation club/student management, attendance and billing</w:t>
            </w:r>
          </w:p>
        </w:tc>
        <w:tc>
          <w:tcPr/>
          <w:p>
            <w:pPr>
              <w:pStyle w:val="Compact"/>
              <w:jc w:val="left"/>
            </w:pPr>
            <w:r>
              <w:t xml:space="preserve">React SPA/PWA; Supabase/PostgreSQL; Vercel config; WhatsApp</w:t>
            </w:r>
          </w:p>
        </w:tc>
        <w:tc>
          <w:tcPr/>
          <w:p>
            <w:pPr>
              <w:pStyle w:val="Compact"/>
              <w:jc w:val="left"/>
            </w:pPr>
            <w:r>
              <w:t xml:space="preserve">Children/guardian information, possible health references, multi-role/tenant access</w:t>
            </w:r>
          </w:p>
        </w:tc>
        <w:tc>
          <w:tcPr/>
          <w:p>
            <w:pPr>
              <w:pStyle w:val="Compact"/>
              <w:jc w:val="left"/>
            </w:pPr>
            <w:r>
              <w:rPr>
                <w:b/>
                <w:bCs/>
              </w:rPr>
              <w:t xml:space="preserve">Medium</w:t>
            </w:r>
          </w:p>
        </w:tc>
        <w:tc>
          <w:tcPr/>
          <w:p>
            <w:pPr>
              <w:pStyle w:val="Compact"/>
              <w:jc w:val="left"/>
            </w:pPr>
            <w:r>
              <w:t xml:space="preserve">Privacy, role governance, tenancy, third-party messaging</w:t>
            </w:r>
          </w:p>
        </w:tc>
      </w:tr>
      <w:tr>
        <w:tc>
          <w:tcPr/>
          <w:p>
            <w:pPr>
              <w:pStyle w:val="Compact"/>
              <w:jc w:val="left"/>
            </w:pPr>
            <w:r>
              <w:rPr>
                <w:b/>
                <w:bCs/>
              </w:rPr>
              <w:t xml:space="preserve">Kounga Engage</w:t>
            </w:r>
          </w:p>
        </w:tc>
        <w:tc>
          <w:tcPr/>
          <w:p>
            <w:pPr>
              <w:pStyle w:val="Compact"/>
              <w:jc w:val="left"/>
            </w:pPr>
            <w:r>
              <w:t xml:space="preserve">AI listing agent, lead capture and seller analytics</w:t>
            </w:r>
          </w:p>
        </w:tc>
        <w:tc>
          <w:tcPr/>
          <w:p>
            <w:pPr>
              <w:pStyle w:val="Compact"/>
              <w:jc w:val="left"/>
            </w:pPr>
            <w:r>
              <w:t xml:space="preserve">Next.js, Fastify, Firestore, Cloud Run; Gemini, optional LiveAvatar/Stripe</w:t>
            </w:r>
          </w:p>
        </w:tc>
        <w:tc>
          <w:tcPr/>
          <w:p>
            <w:pPr>
              <w:pStyle w:val="Compact"/>
              <w:jc w:val="left"/>
            </w:pPr>
            <w:r>
              <w:t xml:space="preserve">Buyer lead/conversation data, multi-tenant seller data, AI/provider transfers</w:t>
            </w:r>
          </w:p>
        </w:tc>
        <w:tc>
          <w:tcPr/>
          <w:p>
            <w:pPr>
              <w:pStyle w:val="Compact"/>
              <w:jc w:val="left"/>
            </w:pPr>
            <w:r>
              <w:rPr>
                <w:b/>
                <w:bCs/>
              </w:rPr>
              <w:t xml:space="preserve">Medium</w:t>
            </w:r>
          </w:p>
        </w:tc>
        <w:tc>
          <w:tcPr/>
          <w:p>
            <w:pPr>
              <w:pStyle w:val="Compact"/>
              <w:jc w:val="left"/>
            </w:pPr>
            <w:r>
              <w:t xml:space="preserve">AI and third-party governance, tenant isolation, consent, retention</w:t>
            </w:r>
          </w:p>
        </w:tc>
      </w:tr>
    </w:tbl>
    <w:p>
      <w:pPr>
        <w:pStyle w:val="BodyText"/>
      </w:pPr>
      <w:r>
        <w:t xml:space="preserve">*Complexity labels are taken from the uploaded repository reviews. They describe architecture/assurance scope, not a measured security risk rating.</w:t>
      </w:r>
    </w:p>
    <w:bookmarkEnd w:id="22"/>
    <w:bookmarkStart w:id="29" w:name="application-profiles"/>
    <w:p>
      <w:pPr>
        <w:pStyle w:val="Heading2"/>
      </w:pPr>
      <w:r>
        <w:t xml:space="preserve">3. Application profiles</w:t>
      </w:r>
    </w:p>
    <w:bookmarkStart w:id="23" w:name="Xeaaa60671f268de7cec152d1fa96d6e6d2a7f99"/>
    <w:p>
      <w:pPr>
        <w:pStyle w:val="Heading3"/>
      </w:pPr>
      <w:r>
        <w:t xml:space="preserve">A. Marin Integration API — focused API and infrastructure assurance</w:t>
      </w:r>
    </w:p>
    <w:p>
      <w:pPr>
        <w:pStyle w:val="FirstParagraph"/>
      </w:pPr>
      <w:r>
        <w:rPr>
          <w:b/>
          <w:bCs/>
        </w:rPr>
        <w:t xml:space="preserve">Purpose and workflows.</w:t>
      </w:r>
      <w:r>
        <w:t xml:space="preserve"> </w:t>
      </w:r>
      <w:r>
        <w:t xml:space="preserve">A small, read-only REST API allows approved integration consumers to retrieve sites, product catalogues and products/quantities at a site. Implemented endpoints include</w:t>
      </w:r>
      <w:r>
        <w:t xml:space="preserve"> </w:t>
      </w:r>
      <w:r>
        <w:rPr>
          <w:rStyle w:val="VerbatimChar"/>
        </w:rPr>
        <w:t xml:space="preserve">GET /api/v1/sites</w:t>
      </w:r>
      <w:r>
        <w:t xml:space="preserve">,</w:t>
      </w:r>
      <w:r>
        <w:t xml:space="preserve"> </w:t>
      </w:r>
      <w:r>
        <w:rPr>
          <w:rStyle w:val="VerbatimChar"/>
        </w:rPr>
        <w:t xml:space="preserve">GET /api/v1/products</w:t>
      </w:r>
      <w:r>
        <w:t xml:space="preserve"> </w:t>
      </w:r>
      <w:r>
        <w:t xml:space="preserve">and</w:t>
      </w:r>
      <w:r>
        <w:t xml:space="preserve"> </w:t>
      </w:r>
      <w:r>
        <w:rPr>
          <w:rStyle w:val="VerbatimChar"/>
        </w:rPr>
        <w:t xml:space="preserve">GET /api/v1/sites/{siteId}/products</w:t>
      </w:r>
      <w:r>
        <w:t xml:space="preserve">; a public health check and public documentation routes also exist.</w:t>
      </w:r>
    </w:p>
    <w:p>
      <w:pPr>
        <w:pStyle w:val="BodyText"/>
      </w:pPr>
      <w:r>
        <w:rPr>
          <w:b/>
          <w:bCs/>
        </w:rPr>
        <w:t xml:space="preserve">Stack and data.</w:t>
      </w:r>
      <w:r>
        <w:t xml:space="preserve"> </w:t>
      </w:r>
      <w:r>
        <w:t xml:space="preserve">Node.js 22+/TypeScript, Express 5, SQL Server,</w:t>
      </w:r>
      <w:r>
        <w:t xml:space="preserve"> </w:t>
      </w:r>
      <w:r>
        <w:rPr>
          <w:rStyle w:val="VerbatimChar"/>
        </w:rPr>
        <w:t xml:space="preserve">mssql</w:t>
      </w:r>
      <w:r>
        <w:t xml:space="preserve">, Zod, Helmet, Swagger/OpenAPI, Jest/Supertest. Azure App Service is described by documentation; live Azure configuration was not inspected. Responses may contain site contact/business details, prices, stock quantities and commercial notes.</w:t>
      </w:r>
    </w:p>
    <w:p>
      <w:pPr>
        <w:pStyle w:val="BodyText"/>
      </w:pPr>
      <w:r>
        <w:rPr>
          <w:b/>
          <w:bCs/>
        </w:rPr>
        <w:t xml:space="preserve">Security evidence present.</w:t>
      </w:r>
      <w:r>
        <w:t xml:space="preserve"> </w:t>
      </w:r>
      <w:r>
        <w:t xml:space="preserve">A shared</w:t>
      </w:r>
      <w:r>
        <w:t xml:space="preserve"> </w:t>
      </w:r>
      <w:r>
        <w:rPr>
          <w:rStyle w:val="VerbatimChar"/>
        </w:rPr>
        <w:t xml:space="preserve">X-API-Key</w:t>
      </w:r>
      <w:r>
        <w:t xml:space="preserve"> </w:t>
      </w:r>
      <w:r>
        <w:t xml:space="preserve">protects</w:t>
      </w:r>
      <w:r>
        <w:t xml:space="preserve"> </w:t>
      </w:r>
      <w:r>
        <w:rPr>
          <w:rStyle w:val="VerbatimChar"/>
        </w:rPr>
        <w:t xml:space="preserve">/api/v1/*</w:t>
      </w:r>
      <w:r>
        <w:t xml:space="preserve">; comparison uses a timing-safe operation for equal-length keys. Route input is validated, query values are parameterised, Helmet is enabled, and SQL encryption settings exist. The routes and queries are read-only. Secrets are loaded via environment variables. Application logs avoid recording the API-key header in the described middleware.</w:t>
      </w:r>
    </w:p>
    <w:p>
      <w:pPr>
        <w:pStyle w:val="BodyText"/>
      </w:pPr>
      <w:r>
        <w:rPr>
          <w:b/>
          <w:bCs/>
        </w:rPr>
        <w:t xml:space="preserve">Evidence still needed.</w:t>
      </w:r>
      <w:r>
        <w:t xml:space="preserve"> </w:t>
      </w:r>
      <w:r>
        <w:t xml:space="preserve">Effective production database permissions, key rotation and ownership, Azure ingress/network policy, logging and monitoring, production TLS, CI/security reviews, and request-abuse controls. No app-level rate limiter was identified; upstream safeguards are unknown. No infrastructure-as-code or deployment security policy was present in the review.</w:t>
      </w:r>
    </w:p>
    <w:p>
      <w:pPr>
        <w:pStyle w:val="BodyText"/>
      </w:pPr>
      <w:r>
        <w:rPr>
          <w:b/>
          <w:bCs/>
        </w:rPr>
        <w:t xml:space="preserve">Suitable novice assignment.</w:t>
      </w:r>
      <w:r>
        <w:t xml:space="preserve"> </w:t>
      </w:r>
      <w:r>
        <w:t xml:space="preserve">Build an API assurance control-and-evidence matrix: map endpoints, identities, protected data, authentication, input protection and database privilege; request deployment evidence; document unknowns and proportionate recommendations. Technical sign-off on SQL Server grants/Azure settings should come from an experienced engineer.</w:t>
      </w:r>
    </w:p>
    <w:bookmarkEnd w:id="23"/>
    <w:bookmarkStart w:id="24" w:name="Xd6d95ef0f33134c9f26c807e3ed8c94aa277c43"/>
    <w:p>
      <w:pPr>
        <w:pStyle w:val="Heading3"/>
      </w:pPr>
      <w:r>
        <w:t xml:space="preserve">B. PerkyLoop — loyalty, payments and role-based assurance</w:t>
      </w:r>
    </w:p>
    <w:p>
      <w:pPr>
        <w:pStyle w:val="FirstParagraph"/>
      </w:pPr>
      <w:r>
        <w:rPr>
          <w:b/>
          <w:bCs/>
        </w:rPr>
        <w:t xml:space="preserve">Purpose and workflows.</w:t>
      </w:r>
      <w:r>
        <w:t xml:space="preserve"> </w:t>
      </w:r>
      <w:r>
        <w:t xml:space="preserve">Customers discover shops, join digital loyalty programmes, collect QR-code stamps, view rewards and redeem them. Staff issue stamps; owners manage shops, staff, promotions, analytics and subscriptions. Admin functionality also exists in source.</w:t>
      </w:r>
    </w:p>
    <w:p>
      <w:pPr>
        <w:pStyle w:val="BodyText"/>
      </w:pPr>
      <w:r>
        <w:rPr>
          <w:b/>
          <w:bCs/>
        </w:rPr>
        <w:t xml:space="preserve">Stack and data.</w:t>
      </w:r>
      <w:r>
        <w:t xml:space="preserve"> </w:t>
      </w:r>
      <w:r>
        <w:t xml:space="preserve">React Native/Expo/TypeScript client; Supabase Auth/PostgreSQL/Storage/Edge Functions; Stripe for Android/card billing, Apple StoreKit for iOS, Expo Push and optional mapping/email providers. Data includes customer profiles, optional demographics, shop records, loyalty/redemption ledger, actor IDs, device tokens and payment/subscription metadata.</w:t>
      </w:r>
    </w:p>
    <w:p>
      <w:pPr>
        <w:pStyle w:val="BodyText"/>
      </w:pPr>
      <w:r>
        <w:rPr>
          <w:b/>
          <w:bCs/>
        </w:rPr>
        <w:t xml:space="preserve">Security evidence present.</w:t>
      </w:r>
      <w:r>
        <w:t xml:space="preserve"> </w:t>
      </w:r>
      <w:r>
        <w:t xml:space="preserve">Authentication and role-related application flows, SQL/RPC scripts for stamp transactions, Supabase backend integrations and server-side Edge Function code for payment operations. Supabase RLS policies, effective function authorisation and production configuration need independent verification; UI roles alone do not prove data isolation.</w:t>
      </w:r>
    </w:p>
    <w:p>
      <w:pPr>
        <w:pStyle w:val="BodyText"/>
      </w:pPr>
      <w:r>
        <w:rPr>
          <w:b/>
          <w:bCs/>
        </w:rPr>
        <w:t xml:space="preserve">Evidence still needed.</w:t>
      </w:r>
      <w:r>
        <w:t xml:space="preserve"> </w:t>
      </w:r>
      <w:r>
        <w:t xml:space="preserve">Deployed database and storage policies, Edge Function authentication, cross-shop privileges, payment/subscription verification, account deletion/retention, monitoring and release controls. The report notes incomplete evidence of deployed webhook handling and security CI.</w:t>
      </w:r>
    </w:p>
    <w:p>
      <w:pPr>
        <w:pStyle w:val="BodyText"/>
      </w:pPr>
      <w:r>
        <w:rPr>
          <w:b/>
          <w:bCs/>
        </w:rPr>
        <w:t xml:space="preserve">Suitable intermediate assignment.</w:t>
      </w:r>
      <w:r>
        <w:t xml:space="preserve"> </w:t>
      </w:r>
      <w:r>
        <w:t xml:space="preserve">Produce a role-to-action/data access matrix covering customer, staff, shop owner and administrator; trace the QR stamp/redeem lifecycle; identify which controls require backend evidence versus mobile-UI evidence. A separate vendor dependency/transaction assurance exercise could be scoped with technical review.</w:t>
      </w:r>
    </w:p>
    <w:bookmarkEnd w:id="24"/>
    <w:bookmarkStart w:id="25" w:name="X862481d114d69746c94d1044cea188b8ee6ba97"/>
    <w:p>
      <w:pPr>
        <w:pStyle w:val="Heading3"/>
      </w:pPr>
      <w:r>
        <w:t xml:space="preserve">C. Dumb or Genius — social platform, moderation and trust assurance</w:t>
      </w:r>
    </w:p>
    <w:p>
      <w:pPr>
        <w:pStyle w:val="FirstParagraph"/>
      </w:pPr>
      <w:r>
        <w:rPr>
          <w:b/>
          <w:bCs/>
        </w:rPr>
        <w:t xml:space="preserve">Purpose and workflows.</w:t>
      </w:r>
      <w:r>
        <w:t xml:space="preserve"> </w:t>
      </w:r>
      <w:r>
        <w:t xml:space="preserve">Public users browse ideas posted into</w:t>
      </w:r>
      <w:r>
        <w:t xml:space="preserve"> </w:t>
      </w:r>
      <w:r>
        <w:t xml:space="preserve">“</w:t>
      </w:r>
      <w:r>
        <w:t xml:space="preserve">Genius</w:t>
      </w:r>
      <w:r>
        <w:t xml:space="preserve">”</w:t>
      </w:r>
      <w:r>
        <w:t xml:space="preserve"> </w:t>
      </w:r>
      <w:r>
        <w:t xml:space="preserve">and</w:t>
      </w:r>
      <w:r>
        <w:t xml:space="preserve"> </w:t>
      </w:r>
      <w:r>
        <w:t xml:space="preserve">“</w:t>
      </w:r>
      <w:r>
        <w:t xml:space="preserve">Dumb</w:t>
      </w:r>
      <w:r>
        <w:t xml:space="preserve">”</w:t>
      </w:r>
      <w:r>
        <w:t xml:space="preserve"> </w:t>
      </w:r>
      <w:r>
        <w:t xml:space="preserve">communities; signed-in users create ideas, vote, manage profiles, report/block others, and may be subject to moderation. A web moderation panel supports admin actions.</w:t>
      </w:r>
    </w:p>
    <w:p>
      <w:pPr>
        <w:pStyle w:val="BodyText"/>
      </w:pPr>
      <w:r>
        <w:rPr>
          <w:b/>
          <w:bCs/>
        </w:rPr>
        <w:t xml:space="preserve">Stack and data.</w:t>
      </w:r>
      <w:r>
        <w:t xml:space="preserve"> </w:t>
      </w:r>
      <w:r>
        <w:t xml:space="preserve">Flutter/Dart, Firebase Authentication/Firestore, Storage rules, App Check, Crashlytics and Firebase Messaging integrations. The client accesses Firebase directly. Data includes public ideas and profiles, vote counters, reports, blocks, moderation status, tokens and diagnostics; account deletion anonymises public profile data while some contributions remain.</w:t>
      </w:r>
    </w:p>
    <w:p>
      <w:pPr>
        <w:pStyle w:val="BodyText"/>
      </w:pPr>
      <w:r>
        <w:rPr>
          <w:b/>
          <w:bCs/>
        </w:rPr>
        <w:t xml:space="preserve">Security evidence present.</w:t>
      </w:r>
      <w:r>
        <w:t xml:space="preserve"> </w:t>
      </w:r>
      <w:r>
        <w:t xml:space="preserve">Firebase sign-in methods; Firestore rules for user/document access and selected business constraints; Storage avatar rules; client App Check activation; rules-related tests; admin/moderation workflows in source.</w:t>
      </w:r>
    </w:p>
    <w:p>
      <w:pPr>
        <w:pStyle w:val="BodyText"/>
      </w:pPr>
      <w:r>
        <w:rPr>
          <w:b/>
          <w:bCs/>
        </w:rPr>
        <w:t xml:space="preserve">Evidence still needed.</w:t>
      </w:r>
      <w:r>
        <w:t xml:space="preserve"> </w:t>
      </w:r>
      <w:r>
        <w:t xml:space="preserve">Deployed rules and App Check enforcement, moderation privilege assignment and review, cross-document workflow consistency, account/dependent-data deletion, provider settings, privacy/terms finalisation, logging/alerts and release controls.</w:t>
      </w:r>
    </w:p>
    <w:p>
      <w:pPr>
        <w:pStyle w:val="BodyText"/>
      </w:pPr>
      <w:r>
        <w:rPr>
          <w:b/>
          <w:bCs/>
        </w:rPr>
        <w:t xml:space="preserve">Suitable intermediate assignment.</w:t>
      </w:r>
      <w:r>
        <w:t xml:space="preserve"> </w:t>
      </w:r>
      <w:r>
        <w:t xml:space="preserve">Review the governance of moderation powers, user reports, sanctions and appeals/evidence, or conduct a privacy/deletion data-lifecycle mapping exercise. A rules-based authorisation assessment requires Firebase technical guidance.</w:t>
      </w:r>
    </w:p>
    <w:bookmarkEnd w:id="25"/>
    <w:bookmarkStart w:id="26" w:name="X3a95f9027f50afe6e9cf00edcd68484c6983e16"/>
    <w:p>
      <w:pPr>
        <w:pStyle w:val="Heading3"/>
      </w:pPr>
      <w:r>
        <w:t xml:space="preserve">D. KoungaTripMate — offline data, travel documents and lifecycle assurance</w:t>
      </w:r>
    </w:p>
    <w:p>
      <w:pPr>
        <w:pStyle w:val="FirstParagraph"/>
      </w:pPr>
      <w:r>
        <w:rPr>
          <w:b/>
          <w:bCs/>
        </w:rPr>
        <w:t xml:space="preserve">Purpose and workflows.</w:t>
      </w:r>
      <w:r>
        <w:t xml:space="preserve"> </w:t>
      </w:r>
      <w:r>
        <w:t xml:space="preserve">Travellers create/join group trips, collaborate on itineraries, accommodation and attractions, record shared expenses/settlements, and upload trip or personal documents. The app works offline, queues changes locally and later synchronises them with Firebase.</w:t>
      </w:r>
    </w:p>
    <w:p>
      <w:pPr>
        <w:pStyle w:val="BodyText"/>
      </w:pPr>
      <w:r>
        <w:rPr>
          <w:b/>
          <w:bCs/>
        </w:rPr>
        <w:t xml:space="preserve">Stack and data.</w:t>
      </w:r>
      <w:r>
        <w:t xml:space="preserve"> </w:t>
      </w:r>
      <w:r>
        <w:t xml:space="preserve">Flutter/Dart, Drift/SQLite on device, Firebase Auth/Firestore/Storage, Geoapify and OpenStreetMap. Data can include trip destinations/coordinates, expenses, group membership and potentially highly sensitive passport, visa or insurance documents.</w:t>
      </w:r>
    </w:p>
    <w:p>
      <w:pPr>
        <w:pStyle w:val="BodyText"/>
      </w:pPr>
      <w:r>
        <w:rPr>
          <w:b/>
          <w:bCs/>
        </w:rPr>
        <w:t xml:space="preserve">Security evidence present.</w:t>
      </w:r>
      <w:r>
        <w:t xml:space="preserve"> </w:t>
      </w:r>
      <w:r>
        <w:t xml:space="preserve">Authentication flows, local logout cleanup, Firebase rules files, local sync queue and storage namespaces. The repository brief specifically reports that document encrypt/decrypt helper methods are placeholders and active document upload uses file bytes as read; therefore</w:t>
      </w:r>
      <w:r>
        <w:t xml:space="preserve"> </w:t>
      </w:r>
      <w:r>
        <w:rPr>
          <w:b/>
          <w:bCs/>
        </w:rPr>
        <w:t xml:space="preserve">application-layer document encryption must not be assumed</w:t>
      </w:r>
      <w:r>
        <w:t xml:space="preserve">. Effective Firebase/device protections were not runtime verified.</w:t>
      </w:r>
    </w:p>
    <w:p>
      <w:pPr>
        <w:pStyle w:val="BodyText"/>
      </w:pPr>
      <w:r>
        <w:rPr>
          <w:b/>
          <w:bCs/>
        </w:rPr>
        <w:t xml:space="preserve">Evidence still needed.</w:t>
      </w:r>
      <w:r>
        <w:t xml:space="preserve"> </w:t>
      </w:r>
      <w:r>
        <w:t xml:space="preserve">Actual cloud rules, access to shared/personal files, encryption and device storage practices, retention, remote deletion after account closure, cached-file lifecycle, logging, sync conflict behaviour and third-party location-provider governance.</w:t>
      </w:r>
    </w:p>
    <w:p>
      <w:pPr>
        <w:pStyle w:val="BodyText"/>
      </w:pPr>
      <w:r>
        <w:rPr>
          <w:b/>
          <w:bCs/>
        </w:rPr>
        <w:t xml:space="preserve">Suitable intermediate/advanced assignment.</w:t>
      </w:r>
      <w:r>
        <w:t xml:space="preserve"> </w:t>
      </w:r>
      <w:r>
        <w:t xml:space="preserve">Map a travel document from selection to local storage, upload, sharing, download, logout and deletion. Classify information, gather control evidence, identify ownership and draft a data-protection assurance report, with technical review of cryptography and cloud rules.</w:t>
      </w:r>
    </w:p>
    <w:bookmarkEnd w:id="26"/>
    <w:bookmarkStart w:id="27" w:name="X3ddda598b2343335f4aa67a24dba49015acd467"/>
    <w:p>
      <w:pPr>
        <w:pStyle w:val="Heading3"/>
      </w:pPr>
      <w:r>
        <w:t xml:space="preserve">E. Karate Club Management — student data and multi-organisation governance</w:t>
      </w:r>
    </w:p>
    <w:p>
      <w:pPr>
        <w:pStyle w:val="FirstParagraph"/>
      </w:pPr>
      <w:r>
        <w:rPr>
          <w:b/>
          <w:bCs/>
        </w:rPr>
        <w:t xml:space="preserve">Purpose and workflows.</w:t>
      </w:r>
      <w:r>
        <w:t xml:space="preserve"> </w:t>
      </w:r>
      <w:r>
        <w:t xml:space="preserve">Browser-based management for martial arts organisations: onboarding, clubs/centres, students/families, coaches, classes, attendance, grading progression, fees, events, reports, notifications and WhatsApp communication. Roles include platform administration, owners, managers, coaches, parents and students.</w:t>
      </w:r>
    </w:p>
    <w:p>
      <w:pPr>
        <w:pStyle w:val="BodyText"/>
      </w:pPr>
      <w:r>
        <w:rPr>
          <w:b/>
          <w:bCs/>
        </w:rPr>
        <w:t xml:space="preserve">Stack and data.</w:t>
      </w:r>
      <w:r>
        <w:t xml:space="preserve"> </w:t>
      </w:r>
      <w:r>
        <w:t xml:space="preserve">React 18 SPA/PWA, Supabase Auth/PostgreSQL/Storage, Vercel deployment configuration and Meta WhatsApp Graph API. Records include child/student and guardian details, attendance, progress, possible health-related schema references, financial records, messages and uploaded images.</w:t>
      </w:r>
    </w:p>
    <w:p>
      <w:pPr>
        <w:pStyle w:val="BodyText"/>
      </w:pPr>
      <w:r>
        <w:rPr>
          <w:b/>
          <w:bCs/>
        </w:rPr>
        <w:t xml:space="preserve">Security evidence present.</w:t>
      </w:r>
      <w:r>
        <w:t xml:space="preserve"> </w:t>
      </w:r>
      <w:r>
        <w:t xml:space="preserve">Sign-in and role-aware screens, organisation-scoped client query patterns, export functionality and authentication integration. A direct browser-to-Supabase architecture means effective row-level/database and Storage policies are critical and cannot be inferred from UI checks alone.</w:t>
      </w:r>
    </w:p>
    <w:p>
      <w:pPr>
        <w:pStyle w:val="BodyText"/>
      </w:pPr>
      <w:r>
        <w:rPr>
          <w:b/>
          <w:bCs/>
        </w:rPr>
        <w:t xml:space="preserve">Evidence still needed.</w:t>
      </w:r>
      <w:r>
        <w:t xml:space="preserve"> </w:t>
      </w:r>
      <w:r>
        <w:t xml:space="preserve">Current/live RLS and Storage policies, tenant boundary enforcement, handling of privileged client build-time variables and messaging credentials, WhatsApp consent and transfers, retention/deletion, browser caching, backups and operational processes. The repository review identifies credential-handling patterns as an assessment topic,</w:t>
      </w:r>
      <w:r>
        <w:t xml:space="preserve"> </w:t>
      </w:r>
      <w:r>
        <w:rPr>
          <w:b/>
          <w:bCs/>
        </w:rPr>
        <w:t xml:space="preserve">not</w:t>
      </w:r>
      <w:r>
        <w:t xml:space="preserve"> </w:t>
      </w:r>
      <w:r>
        <w:t xml:space="preserve">a confirmed production compromise.</w:t>
      </w:r>
    </w:p>
    <w:p>
      <w:pPr>
        <w:pStyle w:val="BodyText"/>
      </w:pPr>
      <w:r>
        <w:rPr>
          <w:b/>
          <w:bCs/>
        </w:rPr>
        <w:t xml:space="preserve">Suitable intermediate assignment.</w:t>
      </w:r>
      <w:r>
        <w:t xml:space="preserve"> </w:t>
      </w:r>
      <w:r>
        <w:t xml:space="preserve">Build a stakeholder/role permissions matrix and student/guardian data inventory; map sensitive flows and third-party transfers; evaluate governance evidence against defined requirements. Technical review is essential for backend authorisation and any privileged-token exposure analysis.</w:t>
      </w:r>
    </w:p>
    <w:bookmarkEnd w:id="27"/>
    <w:bookmarkStart w:id="28" w:name="X1c0f73c1caf2b467469a7568bbb9ea3f1bc6b1b"/>
    <w:p>
      <w:pPr>
        <w:pStyle w:val="Heading3"/>
      </w:pPr>
      <w:r>
        <w:t xml:space="preserve">F. Kounga Engage — AI, SaaS tenancy and provider governance</w:t>
      </w:r>
    </w:p>
    <w:p>
      <w:pPr>
        <w:pStyle w:val="FirstParagraph"/>
      </w:pPr>
      <w:r>
        <w:rPr>
          <w:b/>
          <w:bCs/>
        </w:rPr>
        <w:t xml:space="preserve">Purpose and workflows.</w:t>
      </w:r>
      <w:r>
        <w:t xml:space="preserve"> </w:t>
      </w:r>
      <w:r>
        <w:t xml:space="preserve">Real estate/automotive sellers create listings with branded AI agents. Prospective buyers scan a QR code or open a link, ask questions, optionally provide lead/contact details and request follow-up. Sellers manage listings, leads, conversations and analytics; platform admins manage organisations/plans. Optional voice avatar and payments extend the integration surface.</w:t>
      </w:r>
    </w:p>
    <w:p>
      <w:pPr>
        <w:pStyle w:val="BodyText"/>
      </w:pPr>
      <w:r>
        <w:rPr>
          <w:b/>
          <w:bCs/>
        </w:rPr>
        <w:t xml:space="preserve">Stack and data.</w:t>
      </w:r>
      <w:r>
        <w:t xml:space="preserve"> </w:t>
      </w:r>
      <w:r>
        <w:t xml:space="preserve">Next.js/React/TypeScript, Fastify API, Firebase Authentication, Firestore/Storage and Cloud Run build/deployment definitions; Gemini, optional LiveAvatar/LiveKit and Stripe; property data sources such as LINZ/Auckland Council. Data includes seller/admin identity, buyer contact details, chat conversations, listings, documents and billing references.</w:t>
      </w:r>
    </w:p>
    <w:p>
      <w:pPr>
        <w:pStyle w:val="BodyText"/>
      </w:pPr>
      <w:r>
        <w:rPr>
          <w:b/>
          <w:bCs/>
        </w:rPr>
        <w:t xml:space="preserve">Security evidence present.</w:t>
      </w:r>
      <w:r>
        <w:t xml:space="preserve"> </w:t>
      </w:r>
      <w:r>
        <w:t xml:space="preserve">API verification of Firebase tokens, membership checks for tenant operations, listing-scoped buyer JWTs, scoped projections, Zod request validation, AI grounding/claim-guard logic, Stripe webhook verification and telemetry field allowlisting. Some controls depend on production config. The uploaded brief notes that an App Check header may be recorded without buyer-route token verification; do not treat its presence as proof of enforcement.</w:t>
      </w:r>
    </w:p>
    <w:p>
      <w:pPr>
        <w:pStyle w:val="BodyText"/>
      </w:pPr>
      <w:r>
        <w:rPr>
          <w:b/>
          <w:bCs/>
        </w:rPr>
        <w:t xml:space="preserve">Evidence still needed.</w:t>
      </w:r>
      <w:r>
        <w:t xml:space="preserve"> </w:t>
      </w:r>
      <w:r>
        <w:t xml:space="preserve">Production GCP IAM and deployment settings, effective tenant boundaries, token and provider configuration, buyer consent and retention/deletion, AI-provider data processing/contract terms, operational monitoring, backups and SDLC approvals.</w:t>
      </w:r>
    </w:p>
    <w:p>
      <w:pPr>
        <w:pStyle w:val="BodyText"/>
      </w:pPr>
      <w:r>
        <w:rPr>
          <w:b/>
          <w:bCs/>
        </w:rPr>
        <w:t xml:space="preserve">Suitable advanced assignment.</w:t>
      </w:r>
      <w:r>
        <w:t xml:space="preserve"> </w:t>
      </w:r>
      <w:r>
        <w:t xml:space="preserve">Prepare an AI/third-party assurance register covering what buyer/listing data flows to Gemini and voice providers, purposes, consent and retention evidence. Alternatively, map seller/buyer/admin identity and tenant trust boundaries. Technical reviewers should validate token/authorisation and AI-specific threat assumptions.</w:t>
      </w:r>
    </w:p>
    <w:bookmarkEnd w:id="28"/>
    <w:bookmarkEnd w:id="29"/>
    <w:bookmarkStart w:id="30" w:name="X0d21a7488e4a05693e8834247d2f7d66b28c055"/>
    <w:p>
      <w:pPr>
        <w:pStyle w:val="Heading2"/>
      </w:pPr>
      <w:r>
        <w:t xml:space="preserve">4. Recommended project options for mentor selection</w:t>
      </w:r>
    </w:p>
    <w:p>
      <w:pPr>
        <w:pStyle w:val="FirstParagraph"/>
      </w:pPr>
      <w:r>
        <w:t xml:space="preserve">The following are</w:t>
      </w:r>
      <w:r>
        <w:t xml:space="preserve"> </w:t>
      </w:r>
      <w:r>
        <w:rPr>
          <w:b/>
          <w:bCs/>
        </w:rPr>
        <w:t xml:space="preserve">candidate briefs</w:t>
      </w:r>
      <w:r>
        <w:t xml:space="preserve">, not mandatory work or hidden answers. Select two or three, confirm scope and provide a reviewer. Avoid exposing production data or testing third-party/client systems without permission.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Option</w:t>
            </w:r>
          </w:p>
        </w:tc>
        <w:tc>
          <w:tcPr/>
          <w:p>
            <w:pPr>
              <w:pStyle w:val="Compact"/>
              <w:jc w:val="left"/>
            </w:pPr>
            <w:r>
              <w:t xml:space="preserve">Application</w:t>
            </w:r>
          </w:p>
        </w:tc>
        <w:tc>
          <w:tcPr/>
          <w:p>
            <w:pPr>
              <w:pStyle w:val="Compact"/>
              <w:jc w:val="left"/>
            </w:pPr>
            <w:r>
              <w:t xml:space="preserve">Assessment lens</w:t>
            </w:r>
          </w:p>
        </w:tc>
        <w:tc>
          <w:tcPr/>
          <w:p>
            <w:pPr>
              <w:pStyle w:val="Compact"/>
              <w:jc w:val="left"/>
            </w:pPr>
            <w:r>
              <w:t xml:space="preserve">Deliverables expected from analyst</w:t>
            </w:r>
          </w:p>
        </w:tc>
        <w:tc>
          <w:tcPr/>
          <w:p>
            <w:pPr>
              <w:pStyle w:val="Compact"/>
              <w:jc w:val="left"/>
            </w:pPr>
            <w:r>
              <w:t xml:space="preserve">Mentoring / technical support</w:t>
            </w:r>
          </w:p>
        </w:tc>
      </w:tr>
      <w:tr>
        <w:tc>
          <w:tcPr/>
          <w:p>
            <w:pPr>
              <w:pStyle w:val="Compact"/>
              <w:jc w:val="left"/>
            </w:pPr>
            <w:r>
              <w:rPr>
                <w:b/>
                <w:bCs/>
              </w:rPr>
              <w:t xml:space="preserve">1 — Foundation</w:t>
            </w:r>
          </w:p>
        </w:tc>
        <w:tc>
          <w:tcPr/>
          <w:p>
            <w:pPr>
              <w:pStyle w:val="Compact"/>
              <w:jc w:val="left"/>
            </w:pPr>
            <w:r>
              <w:t xml:space="preserve">Marin</w:t>
            </w:r>
          </w:p>
        </w:tc>
        <w:tc>
          <w:tcPr/>
          <w:p>
            <w:pPr>
              <w:pStyle w:val="Compact"/>
              <w:jc w:val="left"/>
            </w:pPr>
            <w:r>
              <w:t xml:space="preserve">API security controls and evidence</w:t>
            </w:r>
          </w:p>
        </w:tc>
        <w:tc>
          <w:tcPr/>
          <w:p>
            <w:pPr>
              <w:pStyle w:val="Compact"/>
              <w:jc w:val="left"/>
            </w:pPr>
            <w:r>
              <w:t xml:space="preserve">Scope, asset/data flow, API-key control matrix, evidence log, unknowns, prioritised recommendations, final presentation</w:t>
            </w:r>
          </w:p>
        </w:tc>
        <w:tc>
          <w:tcPr/>
          <w:p>
            <w:pPr>
              <w:pStyle w:val="Compact"/>
              <w:jc w:val="left"/>
            </w:pPr>
            <w:r>
              <w:t xml:space="preserve">Small bounded surface; engineering input for Azure/SQL grants</w:t>
            </w:r>
          </w:p>
        </w:tc>
      </w:tr>
      <w:tr>
        <w:tc>
          <w:tcPr/>
          <w:p>
            <w:pPr>
              <w:pStyle w:val="Compact"/>
              <w:jc w:val="left"/>
            </w:pPr>
            <w:r>
              <w:rPr>
                <w:b/>
                <w:bCs/>
              </w:rPr>
              <w:t xml:space="preserve">2 — Roles and transactions</w:t>
            </w:r>
          </w:p>
        </w:tc>
        <w:tc>
          <w:tcPr/>
          <w:p>
            <w:pPr>
              <w:pStyle w:val="Compact"/>
              <w:jc w:val="left"/>
            </w:pPr>
            <w:r>
              <w:t xml:space="preserve">PerkyLoop</w:t>
            </w:r>
          </w:p>
        </w:tc>
        <w:tc>
          <w:tcPr/>
          <w:p>
            <w:pPr>
              <w:pStyle w:val="Compact"/>
              <w:jc w:val="left"/>
            </w:pPr>
            <w:r>
              <w:t xml:space="preserve">Role-based access and loyalty workflow integrity</w:t>
            </w:r>
          </w:p>
        </w:tc>
        <w:tc>
          <w:tcPr/>
          <w:p>
            <w:pPr>
              <w:pStyle w:val="Compact"/>
              <w:jc w:val="left"/>
            </w:pPr>
            <w:r>
              <w:t xml:space="preserve">Actor-resource matrix, key trust boundaries, evidence-backed observations, owner actions and report</w:t>
            </w:r>
          </w:p>
        </w:tc>
        <w:tc>
          <w:tcPr/>
          <w:p>
            <w:pPr>
              <w:pStyle w:val="Compact"/>
              <w:jc w:val="left"/>
            </w:pPr>
            <w:r>
              <w:t xml:space="preserve">Back-end policy/RPC guidance</w:t>
            </w:r>
          </w:p>
        </w:tc>
      </w:tr>
      <w:tr>
        <w:tc>
          <w:tcPr/>
          <w:p>
            <w:pPr>
              <w:pStyle w:val="Compact"/>
              <w:jc w:val="left"/>
            </w:pPr>
            <w:r>
              <w:rPr>
                <w:b/>
                <w:bCs/>
              </w:rPr>
              <w:t xml:space="preserve">3 — Privacy and children</w:t>
            </w:r>
          </w:p>
        </w:tc>
        <w:tc>
          <w:tcPr/>
          <w:p>
            <w:pPr>
              <w:pStyle w:val="Compact"/>
              <w:jc w:val="left"/>
            </w:pPr>
            <w:r>
              <w:t xml:space="preserve">Karate Club</w:t>
            </w:r>
          </w:p>
        </w:tc>
        <w:tc>
          <w:tcPr/>
          <w:p>
            <w:pPr>
              <w:pStyle w:val="Compact"/>
              <w:jc w:val="left"/>
            </w:pPr>
            <w:r>
              <w:t xml:space="preserve">Student privacy, tenancy, messaging third-party transfer</w:t>
            </w:r>
          </w:p>
        </w:tc>
        <w:tc>
          <w:tcPr/>
          <w:p>
            <w:pPr>
              <w:pStyle w:val="Compact"/>
              <w:jc w:val="left"/>
            </w:pPr>
            <w:r>
              <w:t xml:space="preserve">Data inventory, data-flow diagram, controls/evidence matrix, risk narrative and recommendations</w:t>
            </w:r>
          </w:p>
        </w:tc>
        <w:tc>
          <w:tcPr/>
          <w:p>
            <w:pPr>
              <w:pStyle w:val="Compact"/>
              <w:jc w:val="left"/>
            </w:pPr>
            <w:r>
              <w:t xml:space="preserve">Privacy/legal and Supabase expertise</w:t>
            </w:r>
          </w:p>
        </w:tc>
      </w:tr>
      <w:tr>
        <w:tc>
          <w:tcPr/>
          <w:p>
            <w:pPr>
              <w:pStyle w:val="Compact"/>
              <w:jc w:val="left"/>
            </w:pPr>
            <w:r>
              <w:rPr>
                <w:b/>
                <w:bCs/>
              </w:rPr>
              <w:t xml:space="preserve">4 — Lifecycle</w:t>
            </w:r>
          </w:p>
        </w:tc>
        <w:tc>
          <w:tcPr/>
          <w:p>
            <w:pPr>
              <w:pStyle w:val="Compact"/>
              <w:jc w:val="left"/>
            </w:pPr>
            <w:r>
              <w:t xml:space="preserve">TripMate</w:t>
            </w:r>
          </w:p>
        </w:tc>
        <w:tc>
          <w:tcPr/>
          <w:p>
            <w:pPr>
              <w:pStyle w:val="Compact"/>
              <w:jc w:val="left"/>
            </w:pPr>
            <w:r>
              <w:t xml:space="preserve">Sensitive documents, offline storage and deletion</w:t>
            </w:r>
          </w:p>
        </w:tc>
        <w:tc>
          <w:tcPr/>
          <w:p>
            <w:pPr>
              <w:pStyle w:val="Compact"/>
              <w:jc w:val="left"/>
            </w:pPr>
            <w:r>
              <w:t xml:space="preserve">End-to-end document lifecycle map, verified/unknown controls, assurance questions and report</w:t>
            </w:r>
          </w:p>
        </w:tc>
        <w:tc>
          <w:tcPr/>
          <w:p>
            <w:pPr>
              <w:pStyle w:val="Compact"/>
              <w:jc w:val="left"/>
            </w:pPr>
            <w:r>
              <w:t xml:space="preserve">Mobile/Firebase/crypto input</w:t>
            </w:r>
          </w:p>
        </w:tc>
      </w:tr>
      <w:tr>
        <w:tc>
          <w:tcPr/>
          <w:p>
            <w:pPr>
              <w:pStyle w:val="Compact"/>
              <w:jc w:val="left"/>
            </w:pPr>
            <w:r>
              <w:rPr>
                <w:b/>
                <w:bCs/>
              </w:rPr>
              <w:t xml:space="preserve">5 — Community governance</w:t>
            </w:r>
          </w:p>
        </w:tc>
        <w:tc>
          <w:tcPr/>
          <w:p>
            <w:pPr>
              <w:pStyle w:val="Compact"/>
              <w:jc w:val="left"/>
            </w:pPr>
            <w:r>
              <w:t xml:space="preserve">Dumb or Genius</w:t>
            </w:r>
          </w:p>
        </w:tc>
        <w:tc>
          <w:tcPr/>
          <w:p>
            <w:pPr>
              <w:pStyle w:val="Compact"/>
              <w:jc w:val="left"/>
            </w:pPr>
            <w:r>
              <w:t xml:space="preserve">Admin/moderation privileges, abuse governance, account deletion</w:t>
            </w:r>
          </w:p>
        </w:tc>
        <w:tc>
          <w:tcPr/>
          <w:p>
            <w:pPr>
              <w:pStyle w:val="Compact"/>
              <w:jc w:val="left"/>
            </w:pPr>
            <w:r>
              <w:t xml:space="preserve">Roles/moderation workflow, auditability/evidence review, policy/control questions and report</w:t>
            </w:r>
          </w:p>
        </w:tc>
        <w:tc>
          <w:tcPr/>
          <w:p>
            <w:pPr>
              <w:pStyle w:val="Compact"/>
              <w:jc w:val="left"/>
            </w:pPr>
            <w:r>
              <w:t xml:space="preserve">Firebase/security rules input</w:t>
            </w:r>
          </w:p>
        </w:tc>
      </w:tr>
      <w:tr>
        <w:tc>
          <w:tcPr/>
          <w:p>
            <w:pPr>
              <w:pStyle w:val="Compact"/>
              <w:jc w:val="left"/>
            </w:pPr>
            <w:r>
              <w:rPr>
                <w:b/>
                <w:bCs/>
              </w:rPr>
              <w:t xml:space="preserve">6 — AI/provider governance</w:t>
            </w:r>
          </w:p>
        </w:tc>
        <w:tc>
          <w:tcPr/>
          <w:p>
            <w:pPr>
              <w:pStyle w:val="Compact"/>
              <w:jc w:val="left"/>
            </w:pPr>
            <w:r>
              <w:t xml:space="preserve">Engage</w:t>
            </w:r>
          </w:p>
        </w:tc>
        <w:tc>
          <w:tcPr/>
          <w:p>
            <w:pPr>
              <w:pStyle w:val="Compact"/>
              <w:jc w:val="left"/>
            </w:pPr>
            <w:r>
              <w:t xml:space="preserve">AI/voice third-party and buyer data handling</w:t>
            </w:r>
          </w:p>
        </w:tc>
        <w:tc>
          <w:tcPr/>
          <w:p>
            <w:pPr>
              <w:pStyle w:val="Compact"/>
              <w:jc w:val="left"/>
            </w:pPr>
            <w:r>
              <w:t xml:space="preserve">Data-transfer register, provider evidence checklist, AI control map, gap questions and improvement roadmap</w:t>
            </w:r>
          </w:p>
        </w:tc>
        <w:tc>
          <w:tcPr/>
          <w:p>
            <w:pPr>
              <w:pStyle w:val="Compact"/>
              <w:jc w:val="left"/>
            </w:pPr>
            <w:r>
              <w:t xml:space="preserve">AI/API, contracting and privacy input</w:t>
            </w:r>
          </w:p>
        </w:tc>
      </w:tr>
    </w:tbl>
    <w:p>
      <w:pPr>
        <w:pStyle w:val="BodyText"/>
      </w:pPr>
      <w:r>
        <w:rPr>
          <w:b/>
          <w:bCs/>
        </w:rPr>
        <w:t xml:space="preserve">Suggested combinations:</w:t>
      </w:r>
      <w:r>
        <w:t xml:space="preserve"> </w:t>
      </w:r>
      <w:r>
        <w:t xml:space="preserve">(a)</w:t>
      </w:r>
      <w:r>
        <w:t xml:space="preserve"> </w:t>
      </w:r>
      <w:r>
        <w:rPr>
          <w:b/>
          <w:bCs/>
        </w:rPr>
        <w:t xml:space="preserve">Marin + Karate + Engage</w:t>
      </w:r>
      <w:r>
        <w:t xml:space="preserve"> </w:t>
      </w:r>
      <w:r>
        <w:t xml:space="preserve">for a clear progression from technical controls to privacy/GRC to AI vendor assurance; (b)</w:t>
      </w:r>
      <w:r>
        <w:t xml:space="preserve"> </w:t>
      </w:r>
      <w:r>
        <w:rPr>
          <w:b/>
          <w:bCs/>
        </w:rPr>
        <w:t xml:space="preserve">Marin + PerkyLoop + TripMate</w:t>
      </w:r>
      <w:r>
        <w:t xml:space="preserve"> </w:t>
      </w:r>
      <w:r>
        <w:t xml:space="preserve">for access/transaction integrity and sensitive offline data; (c)</w:t>
      </w:r>
      <w:r>
        <w:t xml:space="preserve"> </w:t>
      </w:r>
      <w:r>
        <w:rPr>
          <w:b/>
          <w:bCs/>
        </w:rPr>
        <w:t xml:space="preserve">Dumb or Genius + Karate + Engage</w:t>
      </w:r>
      <w:r>
        <w:t xml:space="preserve"> </w:t>
      </w:r>
      <w:r>
        <w:t xml:space="preserve">for stronger governance focus without repeating the same application patterns.</w:t>
      </w:r>
    </w:p>
    <w:bookmarkEnd w:id="30"/>
    <w:bookmarkStart w:id="33" w:name="X54011a43f81b4c5d78cd1b6dcfdb343a2a808ed"/>
    <w:p>
      <w:pPr>
        <w:pStyle w:val="Heading2"/>
      </w:pPr>
      <w:r>
        <w:t xml:space="preserve">5. Proposed operating model and assessment method</w:t>
      </w:r>
    </w:p>
    <w:p>
      <w:pPr>
        <w:pStyle w:val="FirstParagraph"/>
      </w:pPr>
      <w:r>
        <w:rPr>
          <w:b/>
          <w:bCs/>
        </w:rPr>
        <w:t xml:space="preserve">Mentor / Security Governance Team Lead:</w:t>
      </w:r>
      <w:r>
        <w:t xml:space="preserve"> </w:t>
      </w:r>
      <w:r>
        <w:t xml:space="preserve">Select assignments and applicable reference criteria (e.g., relevant OWASP ASVS requirements, OWASP SAMM practices, NIST SSDF or internal security policy). Approve scope, assess the analyst’s work, challenge assumptions, and sign off on report quality—not on unverified technical compliance.</w:t>
      </w:r>
    </w:p>
    <w:p>
      <w:pPr>
        <w:pStyle w:val="BodyText"/>
      </w:pPr>
      <w:r>
        <w:rPr>
          <w:b/>
          <w:bCs/>
        </w:rPr>
        <w:t xml:space="preserve">Analyst:</w:t>
      </w:r>
      <w:r>
        <w:t xml:space="preserve"> </w:t>
      </w:r>
      <w:r>
        <w:t xml:space="preserve">Own evidence requests, document intended controls and observed evidence, distinguish verified / partially evidenced / unknown, assess business impact under the mentor’s method, propose improvements and present findings. Do not treat an absent repository artefact as proof the control is absent in production.</w:t>
      </w:r>
    </w:p>
    <w:p>
      <w:pPr>
        <w:pStyle w:val="BodyText"/>
      </w:pPr>
      <w:r>
        <w:rPr>
          <w:b/>
          <w:bCs/>
        </w:rPr>
        <w:t xml:space="preserve">Product owner / engineering:</w:t>
      </w:r>
      <w:r>
        <w:t xml:space="preserve"> </w:t>
      </w:r>
      <w:r>
        <w:t xml:space="preserve">Explain architecture, provide a safe non-production environment and redacted evidence where available, answer technical questions, validate reproduction or interpretation, and own actual remediation decisions. Where mentor and product owner have a personal relationship, independent challenge and accurate attribution of work matter.</w:t>
      </w:r>
    </w:p>
    <w:bookmarkStart w:id="31" w:name="suggested-deliverable-pack-per-project"/>
    <w:p>
      <w:pPr>
        <w:pStyle w:val="Heading3"/>
      </w:pPr>
      <w:r>
        <w:t xml:space="preserve">Suggested deliverable pack per project</w:t>
      </w:r>
    </w:p>
    <w:p>
      <w:pPr>
        <w:pStyle w:val="Compact"/>
        <w:numPr>
          <w:ilvl w:val="0"/>
          <w:numId w:val="1001"/>
        </w:numPr>
      </w:pPr>
      <w:r>
        <w:rPr>
          <w:b/>
          <w:bCs/>
        </w:rPr>
        <w:t xml:space="preserve">Scope and objectives:</w:t>
      </w:r>
      <w:r>
        <w:t xml:space="preserve"> </w:t>
      </w:r>
      <w:r>
        <w:t xml:space="preserve">assets, systems, users, explicit exclusions, review criteria and authorisation to examine evidence.</w:t>
      </w:r>
    </w:p>
    <w:p>
      <w:pPr>
        <w:pStyle w:val="Compact"/>
        <w:numPr>
          <w:ilvl w:val="0"/>
          <w:numId w:val="1001"/>
        </w:numPr>
      </w:pPr>
      <w:r>
        <w:rPr>
          <w:b/>
          <w:bCs/>
        </w:rPr>
        <w:t xml:space="preserve">Architecture, data and trust-boundary map:</w:t>
      </w:r>
      <w:r>
        <w:t xml:space="preserve"> </w:t>
      </w:r>
      <w:r>
        <w:t xml:space="preserve">based on validated information.</w:t>
      </w:r>
    </w:p>
    <w:p>
      <w:pPr>
        <w:pStyle w:val="Compact"/>
        <w:numPr>
          <w:ilvl w:val="0"/>
          <w:numId w:val="1001"/>
        </w:numPr>
      </w:pPr>
      <w:r>
        <w:rPr>
          <w:b/>
          <w:bCs/>
        </w:rPr>
        <w:t xml:space="preserve">Control/evidence register:</w:t>
      </w:r>
      <w:r>
        <w:t xml:space="preserve"> </w:t>
      </w:r>
      <w:r>
        <w:t xml:space="preserve">requirement, expected behaviour, repository/runtime evidence, confidence, owner, questions and assessment outcome.</w:t>
      </w:r>
    </w:p>
    <w:p>
      <w:pPr>
        <w:pStyle w:val="Compact"/>
        <w:numPr>
          <w:ilvl w:val="0"/>
          <w:numId w:val="1001"/>
        </w:numPr>
      </w:pPr>
      <w:r>
        <w:rPr>
          <w:b/>
          <w:bCs/>
        </w:rPr>
        <w:t xml:space="preserve">Risk/observation register:</w:t>
      </w:r>
      <w:r>
        <w:t xml:space="preserve"> </w:t>
      </w:r>
      <w:r>
        <w:t xml:space="preserve">concise issue statement, impact/likelihood rationale under the chosen rubric, supporting evidence, recommendations and ownership; record unknowns separately from findings.</w:t>
      </w:r>
    </w:p>
    <w:p>
      <w:pPr>
        <w:pStyle w:val="Compact"/>
        <w:numPr>
          <w:ilvl w:val="0"/>
          <w:numId w:val="1001"/>
        </w:numPr>
      </w:pPr>
      <w:r>
        <w:rPr>
          <w:b/>
          <w:bCs/>
        </w:rPr>
        <w:t xml:space="preserve">Final assurance report and readout:</w:t>
      </w:r>
      <w:r>
        <w:t xml:space="preserve"> </w:t>
      </w:r>
      <w:r>
        <w:t xml:space="preserve">executive summary, scope, approach, findings, limits, recommendations and follow-up; mentor feedback captured separately.</w:t>
      </w:r>
    </w:p>
    <w:bookmarkEnd w:id="31"/>
    <w:bookmarkStart w:id="32" w:name="suggested-learning-checkpoints"/>
    <w:p>
      <w:pPr>
        <w:pStyle w:val="Heading3"/>
      </w:pPr>
      <w:r>
        <w:t xml:space="preserve">Suggested learning checkpoints</w:t>
      </w:r>
    </w:p>
    <w:p>
      <w:pPr>
        <w:pStyle w:val="FirstParagraph"/>
      </w:pPr>
      <w:r>
        <w:rPr>
          <w:b/>
          <w:bCs/>
        </w:rPr>
        <w:t xml:space="preserve">Checkpoint 1 — Discovery:</w:t>
      </w:r>
      <w:r>
        <w:t xml:space="preserve"> </w:t>
      </w:r>
      <w:r>
        <w:t xml:space="preserve">Analyst explains system and proposed approach without relying on the developer to write the findings.</w:t>
      </w:r>
      <w:r>
        <w:br/>
      </w:r>
      <w:r>
        <w:rPr>
          <w:b/>
          <w:bCs/>
        </w:rPr>
        <w:t xml:space="preserve">Checkpoint 2 — Evidence quality:</w:t>
      </w:r>
      <w:r>
        <w:t xml:space="preserve"> </w:t>
      </w:r>
      <w:r>
        <w:t xml:space="preserve">Mentor reviews control mapping, distinguishes implementation versus operating evidence, and corrects unsupported statements.</w:t>
      </w:r>
      <w:r>
        <w:br/>
      </w:r>
      <w:r>
        <w:rPr>
          <w:b/>
          <w:bCs/>
        </w:rPr>
        <w:t xml:space="preserve">Checkpoint 3 — Reporting:</w:t>
      </w:r>
      <w:r>
        <w:t xml:space="preserve"> </w:t>
      </w:r>
      <w:r>
        <w:t xml:space="preserve">Analyst presents proportionate findings, uncertainty and prioritisation to a technical and non-technical audience.</w:t>
      </w:r>
      <w:r>
        <w:br/>
      </w:r>
      <w:r>
        <w:rPr>
          <w:b/>
          <w:bCs/>
        </w:rPr>
        <w:t xml:space="preserve">Checkpoint 4 — Follow-up:</w:t>
      </w:r>
      <w:r>
        <w:t xml:space="preserve"> </w:t>
      </w:r>
      <w:r>
        <w:t xml:space="preserve">Any authorised improvements can be tracked and reassessed; actual implementation stays with product engineering.</w:t>
      </w:r>
    </w:p>
    <w:bookmarkEnd w:id="32"/>
    <w:bookmarkEnd w:id="33"/>
    <w:bookmarkStart w:id="34" w:name="evidence-and-information-sharing-rules"/>
    <w:p>
      <w:pPr>
        <w:pStyle w:val="Heading2"/>
      </w:pPr>
      <w:r>
        <w:t xml:space="preserve">6. Evidence and information-sharing rules</w:t>
      </w:r>
    </w:p>
    <w:p>
      <w:pPr>
        <w:pStyle w:val="Compact"/>
        <w:numPr>
          <w:ilvl w:val="0"/>
          <w:numId w:val="1002"/>
        </w:numPr>
      </w:pPr>
      <w:r>
        <w:t xml:space="preserve">Use the six original discovery briefs as</w:t>
      </w:r>
      <w:r>
        <w:t xml:space="preserve"> </w:t>
      </w:r>
      <w:r>
        <w:rPr>
          <w:b/>
          <w:bCs/>
        </w:rPr>
        <w:t xml:space="preserve">supporting material</w:t>
      </w:r>
      <w:r>
        <w:t xml:space="preserve">, with this portfolio as the selection document. Preserve their caveats and evidence status.</w:t>
      </w:r>
    </w:p>
    <w:p>
      <w:pPr>
        <w:pStyle w:val="Compact"/>
        <w:numPr>
          <w:ilvl w:val="0"/>
          <w:numId w:val="1002"/>
        </w:numPr>
      </w:pPr>
      <w:r>
        <w:t xml:space="preserve">Do not share secrets, production credentials, signing keys, private customer records, database backup contents, private URLs, or raw logs. Screenshots and samples must use synthetic/redacted data.</w:t>
      </w:r>
    </w:p>
    <w:p>
      <w:pPr>
        <w:pStyle w:val="Compact"/>
        <w:numPr>
          <w:ilvl w:val="0"/>
          <w:numId w:val="1002"/>
        </w:numPr>
      </w:pPr>
      <w:r>
        <w:t xml:space="preserve">For</w:t>
      </w:r>
      <w:r>
        <w:t xml:space="preserve"> </w:t>
      </w:r>
      <w:r>
        <w:rPr>
          <w:b/>
          <w:bCs/>
        </w:rPr>
        <w:t xml:space="preserve">Marin</w:t>
      </w:r>
      <w:r>
        <w:t xml:space="preserve">, confirm client/contractual permission before sharing architecture details or any review material beyond Kounga Solutions.</w:t>
      </w:r>
    </w:p>
    <w:p>
      <w:pPr>
        <w:pStyle w:val="Compact"/>
        <w:numPr>
          <w:ilvl w:val="0"/>
          <w:numId w:val="1002"/>
        </w:numPr>
      </w:pPr>
      <w:r>
        <w:t xml:space="preserve">Grant repository, cloud and data access only after explicit authorisation and with least privilege; use non-production/synthetic data wherever possible.</w:t>
      </w:r>
    </w:p>
    <w:p>
      <w:pPr>
        <w:pStyle w:val="Compact"/>
        <w:numPr>
          <w:ilvl w:val="0"/>
          <w:numId w:val="1002"/>
        </w:numPr>
      </w:pPr>
      <w:r>
        <w:t xml:space="preserve">Do not label repository review output a penetration test, independent audit, certified compliance outcome, or verified production posture.</w:t>
      </w:r>
    </w:p>
    <w:p>
      <w:pPr>
        <w:pStyle w:val="Compact"/>
        <w:numPr>
          <w:ilvl w:val="0"/>
          <w:numId w:val="1002"/>
        </w:numPr>
      </w:pPr>
      <w:r>
        <w:t xml:space="preserve">An analyst’s CV/project portfolio must describe only work genuinely undertaken, methods used and reviewer feedback; it must not imply a paid external engagement or independent certification if none exists.</w:t>
      </w:r>
    </w:p>
    <w:bookmarkEnd w:id="34"/>
    <w:bookmarkStart w:id="35" w:name="source-material-and-next-steps"/>
    <w:p>
      <w:pPr>
        <w:pStyle w:val="Heading2"/>
      </w:pPr>
      <w:r>
        <w:t xml:space="preserve">7. Source material and next steps</w:t>
      </w:r>
    </w:p>
    <w:p>
      <w:pPr>
        <w:pStyle w:val="FirstParagraph"/>
      </w:pPr>
      <w:r>
        <w:rPr>
          <w:b/>
          <w:bCs/>
        </w:rPr>
        <w:t xml:space="preserve">Source reports supplied (all dated/reviewed 17 October 2026 where stated):</w:t>
      </w:r>
    </w:p>
    <w:p>
      <w:pPr>
        <w:pStyle w:val="Compact"/>
        <w:numPr>
          <w:ilvl w:val="0"/>
          <w:numId w:val="1003"/>
        </w:numPr>
      </w:pPr>
      <w:r>
        <w:rPr>
          <w:rStyle w:val="VerbatimChar"/>
        </w:rPr>
        <w:t xml:space="preserve">Marin Integration API.md</w:t>
      </w:r>
    </w:p>
    <w:p>
      <w:pPr>
        <w:pStyle w:val="Compact"/>
        <w:numPr>
          <w:ilvl w:val="0"/>
          <w:numId w:val="1003"/>
        </w:numPr>
      </w:pPr>
      <w:r>
        <w:rPr>
          <w:rStyle w:val="VerbatimChar"/>
        </w:rPr>
        <w:t xml:space="preserve">PerkyLoop.md</w:t>
      </w:r>
    </w:p>
    <w:p>
      <w:pPr>
        <w:pStyle w:val="Compact"/>
        <w:numPr>
          <w:ilvl w:val="0"/>
          <w:numId w:val="1003"/>
        </w:numPr>
      </w:pPr>
      <w:r>
        <w:rPr>
          <w:rStyle w:val="VerbatimChar"/>
        </w:rPr>
        <w:t xml:space="preserve">Dumb or Genius.md</w:t>
      </w:r>
    </w:p>
    <w:p>
      <w:pPr>
        <w:pStyle w:val="Compact"/>
        <w:numPr>
          <w:ilvl w:val="0"/>
          <w:numId w:val="1003"/>
        </w:numPr>
      </w:pPr>
      <w:r>
        <w:rPr>
          <w:rStyle w:val="VerbatimChar"/>
        </w:rPr>
        <w:t xml:space="preserve">Trip Mate.md</w:t>
      </w:r>
    </w:p>
    <w:p>
      <w:pPr>
        <w:pStyle w:val="Compact"/>
        <w:numPr>
          <w:ilvl w:val="0"/>
          <w:numId w:val="1003"/>
        </w:numPr>
      </w:pPr>
      <w:r>
        <w:rPr>
          <w:rStyle w:val="VerbatimChar"/>
        </w:rPr>
        <w:t xml:space="preserve">Karate Club Management.md</w:t>
      </w:r>
    </w:p>
    <w:p>
      <w:pPr>
        <w:pStyle w:val="Compact"/>
        <w:numPr>
          <w:ilvl w:val="0"/>
          <w:numId w:val="1003"/>
        </w:numPr>
      </w:pPr>
      <w:r>
        <w:rPr>
          <w:rStyle w:val="VerbatimChar"/>
        </w:rPr>
        <w:t xml:space="preserve">Kounga Engage.md</w:t>
      </w:r>
    </w:p>
    <w:p>
      <w:pPr>
        <w:pStyle w:val="FirstParagraph"/>
      </w:pPr>
      <w:r>
        <w:t xml:space="preserve">The source reports were generated from individual repositories and retain more detailed functionality, architecture, security-control inventories, evidence paths and proposed assessment areas. This consolidated document paraphrases them for project selection; it does</w:t>
      </w:r>
      <w:r>
        <w:t xml:space="preserve"> </w:t>
      </w:r>
      <w:r>
        <w:rPr>
          <w:b/>
          <w:bCs/>
        </w:rPr>
        <w:t xml:space="preserve">not</w:t>
      </w:r>
      <w:r>
        <w:t xml:space="preserve"> </w:t>
      </w:r>
      <w:r>
        <w:t xml:space="preserve">independently validate source code or production deployment.</w:t>
      </w:r>
    </w:p>
    <w:p>
      <w:pPr>
        <w:pStyle w:val="BodyText"/>
      </w:pPr>
      <w:r>
        <w:rPr>
          <w:b/>
          <w:bCs/>
        </w:rPr>
        <w:t xml:space="preserve">Requested decision from mentor:</w:t>
      </w:r>
      <w:r>
        <w:t xml:space="preserve"> </w:t>
      </w:r>
      <w:r>
        <w:t xml:space="preserve">Identify two or three applications, specify assessment question and reference framework for each, define expected evidence and deliverable, recommend the order/difficulty, and establish review checkpoints. Product owner can then arrange scoped, permissioned access and engineering contacts.</w:t>
      </w:r>
    </w:p>
    <w:p>
      <w:r>
        <w:pict>
          <v:rect style="width:0;height:1.5pt" o:hralign="center" o:hrstd="t" o:hr="t"/>
        </w:pict>
      </w:r>
    </w:p>
    <w:p>
      <w:pPr>
        <w:pStyle w:val="FirstParagraph"/>
      </w:pPr>
      <w:r>
        <w:rPr>
          <w:i/>
          <w:iCs/>
        </w:rPr>
        <w:t xml:space="preserve">Prepared as a mentoring-selection brief. No security finding, risk grade or compliance opinion is asserted by this document.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2026-10-16T22:30:39Z</dcterms:created>
  <dcterms:modified xsi:type="dcterms:W3CDTF">2026-10-16T22:30:39Z</dcterms:modified>
</cp:coreProperties>
</file>

<file path=docProps/custom.xml><?xml version="1.0" encoding="utf-8"?>
<Properties xmlns="http://schemas.openxmlformats.org/officeDocument/2006/custom-properties" xmlns:vt="http://schemas.openxmlformats.org/officeDocument/2006/docPropsVTypes"/>
</file>