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Castillo, Anjelica M.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MCSCC123 - MSCS12S1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Cafe Menu using Naive and Tree Disjoint Sets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This demonstrates a basic simulation simple cafe menu using the Disjoint Set (Union-Find) data structure. It clusters menu items based on simulated co-purchase patterns—identifying which items are frequently bought together in a simple cafe setup.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 Naive Implementation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2. Optimized Tree-like Implementation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Cafe Menu Items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menu_items = [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'Burger', 'Fries', 'Ice Cream', 'Coke',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'Pasta', 'Cookies', 'Coffee', 'Milk Tea'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Simulated co-purchases (items often bought together)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co_purchases = [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('Burger', 'Fries'),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('Burger', 'Coke'),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('Pasta', 'Cookies'),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('Coffee', 'Milk Tea'),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('Ice Cream', 'Cookies')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Naive Disjoint Set Implementation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This basic version uses a dictionary to store parent pointers without any optimization.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53512" cy="198196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98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Pros: Easy to understand and implement.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Cons: Can become inefficient for large datasets (deep trees).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Tree Disjoint Set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This version reduces lookup and union time to near constant using two techniques.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94760" cy="313867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13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Pros: Efficient even for large numbers of items.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Cons: Slightly more complex to implement.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Results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82746" cy="415137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746" cy="415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Both the Naive and Optimized Tree-based Disjoint Set implementations successfully identified meaningful clusters of items based on simulated co-purchase patterns. Despite differences in internal structure and performance, the final groupings were consistent across both methods: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Burger, Fries, Coke</w:t>
      </w:r>
      <w:r w:rsidDel="00000000" w:rsidR="00000000" w:rsidRPr="00000000">
        <w:rPr>
          <w:rtl w:val="0"/>
        </w:rPr>
        <w:t xml:space="preserve"> were grouped, suggesting a classic fast-food combo.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Ice Cream, Pasta, Cookies</w:t>
      </w:r>
      <w:r w:rsidDel="00000000" w:rsidR="00000000" w:rsidRPr="00000000">
        <w:rPr>
          <w:rtl w:val="0"/>
        </w:rPr>
        <w:t xml:space="preserve"> formed a second group, possibly indicating meal-dessert pairings.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Coffee and Milk Tea</w:t>
      </w:r>
      <w:r w:rsidDel="00000000" w:rsidR="00000000" w:rsidRPr="00000000">
        <w:rPr>
          <w:rtl w:val="0"/>
        </w:rPr>
        <w:t xml:space="preserve"> appeared together, reflecting common beverage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While the optimized version is more efficient for larger data, both approaches are effective for identifying frequently bought-together items and can support combo deals or menu planning in restaurants.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AHzSRTsGPUcYPsd/I8IRXg8xmw==">CgMxLjA4AHIhMXpXS25LdVVQWi1NN1F4SnNVX3dqOGxjM3VKSmdzVHNo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