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84" w:rsidRPr="000F0090" w:rsidRDefault="003A2884" w:rsidP="003A2884">
      <w:pPr>
        <w:outlineLvl w:val="0"/>
        <w:rPr>
          <w:b/>
          <w:bCs/>
        </w:rPr>
      </w:pPr>
      <w:r w:rsidRPr="000F0090">
        <w:rPr>
          <w:b/>
          <w:bCs/>
        </w:rPr>
        <w:t>Core/Basic Requirements (applies to all letters):</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Entire letter, including footers, must be in 12 pt Times New Roman font</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Logo placement must be in upper right corner of letter and on first page only</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Return address must be in upper left corner, and on first page only</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Wherever Brand Name is used, it must be completely spelled out, not abbreviated</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Letter Date must always print on letter, placement may be different. Letter Date equals the date letter was generated.</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 xml:space="preserve">Material ID placement is always in the footer, left justified, and must print on every page of the letter. </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Page number placement is always in the footer, centered, and must print on every page of the letter</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Federal Contracting Statement (FCS) and taglines must adhere to the current plan year Medicare Marketing Guidelines</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Federal Contracting Statement (FCS) must print on the last page of letter only and before the tagline</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Tagline must print on the last page of the letter only and after the FCS</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 xml:space="preserve">A &lt; &gt; indicates this field is data driven, and should be included in data layout provided by IT. The data passed, should be placed within the &lt; &gt;’s, and the &lt; &gt;’s should be omitted.  </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 xml:space="preserve">A [ ] indicates this is a variable paragraph which is dependent on a business rule. If the business rule meets the criteria, the entire text within the [ ]’s should be printed (with the exception of the </w:t>
      </w:r>
      <w:r w:rsidRPr="000F0090">
        <w:rPr>
          <w:rFonts w:ascii="Times New Roman" w:hAnsi="Times New Roman"/>
          <w:b/>
          <w:bCs/>
          <w:sz w:val="24"/>
          <w:szCs w:val="24"/>
        </w:rPr>
        <w:t xml:space="preserve">bold </w:t>
      </w:r>
      <w:r w:rsidRPr="000F0090">
        <w:rPr>
          <w:rFonts w:ascii="Times New Roman" w:hAnsi="Times New Roman"/>
          <w:bCs/>
          <w:sz w:val="24"/>
          <w:szCs w:val="24"/>
        </w:rPr>
        <w:t>tag prefix, the colon, and the [ ]’s. If the criteria does not meet the business rule, the entire text within the []’s should be omitted.</w:t>
      </w:r>
    </w:p>
    <w:p w:rsidR="003A2884" w:rsidRPr="000F0090" w:rsidRDefault="003A2884" w:rsidP="003A2884">
      <w:pPr>
        <w:rPr>
          <w:bCs/>
        </w:rPr>
      </w:pPr>
    </w:p>
    <w:p w:rsidR="003A2884" w:rsidRPr="000F0090" w:rsidRDefault="003A2884" w:rsidP="003A2884">
      <w:pPr>
        <w:outlineLvl w:val="0"/>
        <w:rPr>
          <w:bCs/>
        </w:rPr>
      </w:pPr>
      <w:r w:rsidRPr="000F0090">
        <w:rPr>
          <w:bCs/>
          <w:highlight w:val="yellow"/>
        </w:rPr>
        <w:t>Yellow</w:t>
      </w:r>
      <w:r w:rsidRPr="000F0090">
        <w:rPr>
          <w:bCs/>
        </w:rPr>
        <w:t xml:space="preserve"> highlighted fields are rule driven and are defined by business</w:t>
      </w:r>
    </w:p>
    <w:p w:rsidR="003A2884" w:rsidRPr="000F0090" w:rsidRDefault="003A2884" w:rsidP="003A2884">
      <w:pPr>
        <w:rPr>
          <w:bCs/>
        </w:rPr>
      </w:pPr>
      <w:r w:rsidRPr="000F0090">
        <w:rPr>
          <w:bCs/>
          <w:highlight w:val="green"/>
        </w:rPr>
        <w:t>Green</w:t>
      </w:r>
      <w:r w:rsidRPr="000F0090">
        <w:rPr>
          <w:bCs/>
        </w:rPr>
        <w:t xml:space="preserve"> highlighted fields are data driven, should be included in data layout provided by IT</w:t>
      </w:r>
    </w:p>
    <w:p w:rsidR="003A2884" w:rsidRPr="000F0090" w:rsidRDefault="003A2884" w:rsidP="003A2884">
      <w:pPr>
        <w:rPr>
          <w:bCs/>
        </w:rPr>
      </w:pPr>
      <w:r w:rsidRPr="000F0090">
        <w:rPr>
          <w:bCs/>
          <w:highlight w:val="cyan"/>
        </w:rPr>
        <w:t>Blue</w:t>
      </w:r>
      <w:r w:rsidRPr="000F0090">
        <w:rPr>
          <w:bCs/>
        </w:rPr>
        <w:t xml:space="preserve"> highlighted fields are variable paragraphs that are defined by business (possibly used across letters) – This example is the hours of operation, IND has different ones than EGR but the paragraph verbiage (for each) is the same on each letter.</w:t>
      </w:r>
    </w:p>
    <w:p w:rsidR="003A2884" w:rsidRPr="000F0090" w:rsidRDefault="003A2884" w:rsidP="003A2884">
      <w:pPr>
        <w:pStyle w:val="ListParagraph"/>
        <w:numPr>
          <w:ilvl w:val="0"/>
          <w:numId w:val="2"/>
        </w:numPr>
        <w:rPr>
          <w:rFonts w:ascii="Times New Roman" w:hAnsi="Times New Roman"/>
          <w:sz w:val="24"/>
          <w:szCs w:val="24"/>
        </w:rPr>
      </w:pPr>
      <w:r w:rsidRPr="000F0090">
        <w:rPr>
          <w:rFonts w:ascii="Times New Roman" w:hAnsi="Times New Roman"/>
          <w:sz w:val="24"/>
          <w:szCs w:val="24"/>
        </w:rPr>
        <w:t xml:space="preserve">In Excel, document: Data Field, </w:t>
      </w:r>
      <w:r w:rsidRPr="000F0090">
        <w:rPr>
          <w:rFonts w:ascii="Times New Roman" w:hAnsi="Times New Roman"/>
          <w:sz w:val="24"/>
          <w:szCs w:val="24"/>
          <w:highlight w:val="yellow"/>
        </w:rPr>
        <w:t>Rule</w:t>
      </w:r>
      <w:r w:rsidRPr="000F0090">
        <w:rPr>
          <w:rFonts w:ascii="Times New Roman" w:hAnsi="Times New Roman"/>
          <w:sz w:val="24"/>
          <w:szCs w:val="24"/>
        </w:rPr>
        <w:t xml:space="preserve"> v. </w:t>
      </w:r>
      <w:r w:rsidRPr="000F0090">
        <w:rPr>
          <w:rFonts w:ascii="Times New Roman" w:hAnsi="Times New Roman"/>
          <w:sz w:val="24"/>
          <w:szCs w:val="24"/>
          <w:highlight w:val="green"/>
        </w:rPr>
        <w:t>Data</w:t>
      </w:r>
      <w:r w:rsidRPr="000F0090">
        <w:rPr>
          <w:rFonts w:ascii="Times New Roman" w:hAnsi="Times New Roman"/>
          <w:sz w:val="24"/>
          <w:szCs w:val="24"/>
        </w:rPr>
        <w:t xml:space="preserve"> Driven, Format (can be determined later)</w:t>
      </w:r>
    </w:p>
    <w:p w:rsidR="003A2884" w:rsidRPr="000F0090" w:rsidRDefault="003A2884" w:rsidP="003A2884">
      <w:pPr>
        <w:outlineLvl w:val="0"/>
        <w:rPr>
          <w:b/>
          <w:bCs/>
        </w:rPr>
      </w:pPr>
      <w:r w:rsidRPr="000F0090">
        <w:rPr>
          <w:b/>
          <w:bCs/>
        </w:rPr>
        <w:t>Letter Specific Requirements:</w:t>
      </w:r>
    </w:p>
    <w:p w:rsidR="003A2884" w:rsidRPr="000F0090" w:rsidRDefault="003A2884" w:rsidP="003A2884">
      <w:pPr>
        <w:pStyle w:val="ListParagraph"/>
        <w:numPr>
          <w:ilvl w:val="0"/>
          <w:numId w:val="3"/>
        </w:numPr>
        <w:spacing w:after="0" w:line="240" w:lineRule="auto"/>
        <w:outlineLvl w:val="0"/>
        <w:rPr>
          <w:rFonts w:ascii="Times New Roman" w:hAnsi="Times New Roman"/>
          <w:bCs/>
          <w:sz w:val="24"/>
          <w:szCs w:val="24"/>
        </w:rPr>
      </w:pPr>
      <w:r w:rsidRPr="000F0090">
        <w:rPr>
          <w:rFonts w:ascii="Times New Roman" w:hAnsi="Times New Roman"/>
          <w:bCs/>
          <w:sz w:val="24"/>
          <w:szCs w:val="24"/>
        </w:rPr>
        <w:t>Use to clarify the “IF” statements</w:t>
      </w:r>
    </w:p>
    <w:p w:rsidR="003A2884" w:rsidRPr="000F0090" w:rsidRDefault="003A2884" w:rsidP="003A2884">
      <w:pPr>
        <w:pStyle w:val="ListParagraph"/>
        <w:numPr>
          <w:ilvl w:val="1"/>
          <w:numId w:val="3"/>
        </w:numPr>
        <w:spacing w:after="0" w:line="240" w:lineRule="auto"/>
        <w:outlineLvl w:val="0"/>
        <w:rPr>
          <w:rFonts w:ascii="Times New Roman" w:hAnsi="Times New Roman"/>
          <w:bCs/>
          <w:sz w:val="24"/>
          <w:szCs w:val="24"/>
        </w:rPr>
      </w:pPr>
      <w:r w:rsidRPr="000F0090">
        <w:rPr>
          <w:rFonts w:ascii="Times New Roman" w:hAnsi="Times New Roman"/>
          <w:bCs/>
          <w:sz w:val="24"/>
          <w:szCs w:val="24"/>
        </w:rPr>
        <w:t xml:space="preserve">For any optional/variable paragraph in the letter, use “IF” statement at the beginning of paragraph, then “END IF” at the end of the paragraph. Example: </w:t>
      </w:r>
      <w:r w:rsidRPr="000F0090">
        <w:rPr>
          <w:rFonts w:ascii="Times New Roman" w:hAnsi="Times New Roman"/>
          <w:bCs/>
          <w:sz w:val="24"/>
          <w:szCs w:val="24"/>
          <w:highlight w:val="cyan"/>
        </w:rPr>
        <w:t>[</w:t>
      </w:r>
      <w:r w:rsidRPr="000F0090">
        <w:rPr>
          <w:rFonts w:ascii="Times New Roman" w:hAnsi="Times New Roman"/>
          <w:b/>
          <w:bCs/>
          <w:sz w:val="24"/>
          <w:szCs w:val="24"/>
          <w:highlight w:val="cyan"/>
        </w:rPr>
        <w:t>IF HMO</w:t>
      </w:r>
      <w:r w:rsidRPr="000F0090">
        <w:rPr>
          <w:rFonts w:ascii="Times New Roman" w:hAnsi="Times New Roman"/>
          <w:bCs/>
          <w:sz w:val="24"/>
          <w:szCs w:val="24"/>
          <w:highlight w:val="cyan"/>
        </w:rPr>
        <w:t xml:space="preserve">: Please remember that except for emergency or out-of-area urgent care, or out-of-area dialysis services, if you get health care services from a non-&lt;Plan Name&gt; doctor without prior authorization, you will have to pay for these services yourself. </w:t>
      </w:r>
      <w:r w:rsidRPr="000F0090">
        <w:rPr>
          <w:rFonts w:ascii="Times New Roman" w:hAnsi="Times New Roman"/>
          <w:b/>
          <w:bCs/>
          <w:sz w:val="24"/>
          <w:szCs w:val="24"/>
          <w:highlight w:val="cyan"/>
        </w:rPr>
        <w:t>END IF</w:t>
      </w:r>
      <w:r w:rsidRPr="000F0090">
        <w:rPr>
          <w:rFonts w:ascii="Times New Roman" w:hAnsi="Times New Roman"/>
          <w:bCs/>
          <w:sz w:val="24"/>
          <w:szCs w:val="24"/>
          <w:highlight w:val="cyan"/>
        </w:rPr>
        <w:t>]</w:t>
      </w:r>
    </w:p>
    <w:p w:rsidR="003A2884" w:rsidRPr="000F0090" w:rsidRDefault="003A2884" w:rsidP="003A2884">
      <w:pPr>
        <w:pStyle w:val="Default"/>
        <w:numPr>
          <w:ilvl w:val="0"/>
          <w:numId w:val="3"/>
        </w:numPr>
      </w:pPr>
      <w:r w:rsidRPr="000F0090">
        <w:rPr>
          <w:bCs/>
        </w:rPr>
        <w:t xml:space="preserve">Letter must be sent </w:t>
      </w:r>
      <w:r w:rsidRPr="000F0090">
        <w:t xml:space="preserve">10 calendar days of receiving enrollment request or of approval from CMS to limit enrollment </w:t>
      </w:r>
    </w:p>
    <w:p w:rsidR="003A2884" w:rsidRPr="000F0090" w:rsidRDefault="003A2884" w:rsidP="003A2884">
      <w:pPr>
        <w:ind w:left="360"/>
        <w:outlineLvl w:val="0"/>
        <w:rPr>
          <w:bCs/>
        </w:rPr>
      </w:pPr>
    </w:p>
    <w:p w:rsidR="003A2884" w:rsidRPr="000F0090" w:rsidRDefault="003A2884" w:rsidP="003A2884">
      <w:pPr>
        <w:outlineLvl w:val="0"/>
        <w:rPr>
          <w:b/>
          <w:bCs/>
        </w:rPr>
      </w:pPr>
      <w:r w:rsidRPr="000F0090">
        <w:rPr>
          <w:b/>
          <w:bCs/>
        </w:rPr>
        <w:t>System Triggers:</w:t>
      </w:r>
    </w:p>
    <w:p w:rsidR="003A2884" w:rsidRPr="000F0090" w:rsidRDefault="003A2884" w:rsidP="003A2884">
      <w:pPr>
        <w:pStyle w:val="ListParagraph"/>
        <w:numPr>
          <w:ilvl w:val="0"/>
          <w:numId w:val="4"/>
        </w:numPr>
        <w:spacing w:after="0" w:line="240" w:lineRule="auto"/>
        <w:outlineLvl w:val="0"/>
        <w:rPr>
          <w:rFonts w:ascii="Times New Roman" w:hAnsi="Times New Roman"/>
          <w:bCs/>
          <w:sz w:val="24"/>
          <w:szCs w:val="24"/>
        </w:rPr>
      </w:pPr>
      <w:r w:rsidRPr="000F0090">
        <w:rPr>
          <w:rFonts w:ascii="Times New Roman" w:hAnsi="Times New Roman"/>
          <w:bCs/>
          <w:sz w:val="24"/>
          <w:szCs w:val="24"/>
        </w:rPr>
        <w:t>Assumption: Letters will trigger using the same criteria as in production today</w:t>
      </w:r>
    </w:p>
    <w:p w:rsidR="003A2884" w:rsidRPr="000F0090" w:rsidRDefault="003A2884" w:rsidP="003A2884">
      <w:pPr>
        <w:pStyle w:val="ListParagraph"/>
        <w:numPr>
          <w:ilvl w:val="0"/>
          <w:numId w:val="4"/>
        </w:numPr>
        <w:spacing w:after="0" w:line="240" w:lineRule="auto"/>
        <w:outlineLvl w:val="0"/>
        <w:rPr>
          <w:rFonts w:ascii="Times New Roman" w:hAnsi="Times New Roman"/>
          <w:bCs/>
          <w:sz w:val="24"/>
          <w:szCs w:val="24"/>
        </w:rPr>
      </w:pPr>
      <w:r w:rsidRPr="000F0090">
        <w:rPr>
          <w:rFonts w:ascii="Times New Roman" w:hAnsi="Times New Roman"/>
          <w:bCs/>
          <w:sz w:val="24"/>
          <w:szCs w:val="24"/>
        </w:rPr>
        <w:t>Assumption: Letter codes will remain the same</w:t>
      </w:r>
    </w:p>
    <w:p w:rsidR="003A2884" w:rsidRPr="00C47BA9" w:rsidRDefault="003A2884" w:rsidP="003A2884">
      <w:pPr>
        <w:pStyle w:val="ListParagraph"/>
        <w:numPr>
          <w:ilvl w:val="0"/>
          <w:numId w:val="4"/>
        </w:numPr>
        <w:spacing w:after="0" w:line="240" w:lineRule="auto"/>
        <w:outlineLvl w:val="0"/>
        <w:rPr>
          <w:bCs/>
          <w:sz w:val="24"/>
          <w:szCs w:val="24"/>
        </w:rPr>
      </w:pPr>
      <w:r w:rsidRPr="000F0090">
        <w:rPr>
          <w:rFonts w:ascii="Times New Roman" w:hAnsi="Times New Roman"/>
          <w:bCs/>
          <w:sz w:val="24"/>
          <w:szCs w:val="24"/>
        </w:rPr>
        <w:t>Assumption: Limited liability will be updated with letter event code and date</w:t>
      </w:r>
    </w:p>
    <w:p w:rsidR="003A2884" w:rsidRPr="003A2884" w:rsidRDefault="003A2884" w:rsidP="003A2884">
      <w:pPr>
        <w:spacing w:after="200" w:line="276" w:lineRule="auto"/>
        <w:rPr>
          <w:bCs/>
        </w:rPr>
      </w:pPr>
      <w:r>
        <w:br w:type="page"/>
      </w:r>
    </w:p>
    <w:tbl>
      <w:tblPr>
        <w:tblpPr w:leftFromText="180" w:rightFromText="180" w:vertAnchor="page" w:horzAnchor="margin" w:tblpY="426"/>
        <w:tblW w:w="10373" w:type="dxa"/>
        <w:tblLayout w:type="fixed"/>
        <w:tblCellMar>
          <w:left w:w="115" w:type="dxa"/>
          <w:right w:w="115" w:type="dxa"/>
        </w:tblCellMar>
        <w:tblLook w:val="01E0" w:firstRow="1" w:lastRow="1" w:firstColumn="1" w:lastColumn="1" w:noHBand="0" w:noVBand="0"/>
      </w:tblPr>
      <w:tblGrid>
        <w:gridCol w:w="6415"/>
        <w:gridCol w:w="3958"/>
      </w:tblGrid>
      <w:tr w:rsidR="002921E1" w:rsidRPr="00DE3EFC" w:rsidTr="00B0744E">
        <w:trPr>
          <w:trHeight w:val="900"/>
        </w:trPr>
        <w:tc>
          <w:tcPr>
            <w:tcW w:w="6415" w:type="dxa"/>
          </w:tcPr>
          <w:p w:rsidR="002921E1" w:rsidRPr="00FF639B" w:rsidRDefault="00AC0FDE" w:rsidP="00B0744E">
            <w:pPr>
              <w:pStyle w:val="Header"/>
              <w:widowControl w:val="0"/>
              <w:tabs>
                <w:tab w:val="clear" w:pos="4320"/>
                <w:tab w:val="clear" w:pos="8640"/>
                <w:tab w:val="center" w:pos="5760"/>
                <w:tab w:val="right" w:pos="10170"/>
              </w:tabs>
              <w:autoSpaceDE w:val="0"/>
              <w:autoSpaceDN w:val="0"/>
              <w:adjustRightInd w:val="0"/>
              <w:ind w:right="-1440"/>
            </w:pPr>
            <w:r w:rsidRPr="00FF639B">
              <w:rPr>
                <w:highlight w:val="green"/>
              </w:rPr>
              <w:lastRenderedPageBreak/>
              <w:t>&lt;BLUESPLAN&gt;</w:t>
            </w:r>
            <w:r w:rsidR="002921E1" w:rsidRPr="00FF639B">
              <w:br/>
            </w:r>
            <w:r w:rsidRPr="00FF639B">
              <w:rPr>
                <w:highlight w:val="green"/>
              </w:rPr>
              <w:t>&lt;RETURNADDR1&gt;</w:t>
            </w:r>
          </w:p>
          <w:p w:rsidR="002921E1" w:rsidRPr="00FF639B" w:rsidRDefault="00AC0FDE" w:rsidP="00B0744E">
            <w:pPr>
              <w:pStyle w:val="Header"/>
              <w:widowControl w:val="0"/>
              <w:autoSpaceDE w:val="0"/>
              <w:autoSpaceDN w:val="0"/>
              <w:adjustRightInd w:val="0"/>
            </w:pPr>
            <w:r w:rsidRPr="00FF639B">
              <w:rPr>
                <w:highlight w:val="green"/>
              </w:rPr>
              <w:t>&lt;RETURNADDR2&gt;</w:t>
            </w:r>
          </w:p>
          <w:p w:rsidR="00DA72AA" w:rsidRPr="00FF639B" w:rsidRDefault="009D7603" w:rsidP="00B0744E">
            <w:pPr>
              <w:pStyle w:val="Header"/>
              <w:widowControl w:val="0"/>
              <w:autoSpaceDE w:val="0"/>
              <w:autoSpaceDN w:val="0"/>
              <w:adjustRightInd w:val="0"/>
            </w:pPr>
            <w:r w:rsidRPr="00FF639B">
              <w:rPr>
                <w:iCs/>
              </w:rPr>
              <w:t xml:space="preserve"> </w:t>
            </w:r>
          </w:p>
          <w:p w:rsidR="002921E1" w:rsidRPr="00FF639B" w:rsidRDefault="002921E1" w:rsidP="00B0744E">
            <w:pPr>
              <w:pStyle w:val="Header"/>
              <w:widowControl w:val="0"/>
              <w:tabs>
                <w:tab w:val="clear" w:pos="8640"/>
                <w:tab w:val="right" w:pos="10170"/>
              </w:tabs>
              <w:autoSpaceDE w:val="0"/>
              <w:autoSpaceDN w:val="0"/>
              <w:adjustRightInd w:val="0"/>
              <w:ind w:right="-1440"/>
            </w:pPr>
          </w:p>
        </w:tc>
        <w:tc>
          <w:tcPr>
            <w:tcW w:w="3958" w:type="dxa"/>
          </w:tcPr>
          <w:p w:rsidR="002921E1" w:rsidRPr="00DE3EFC" w:rsidRDefault="00A44B24" w:rsidP="00B0744E">
            <w:pPr>
              <w:pStyle w:val="Header"/>
              <w:widowControl w:val="0"/>
              <w:tabs>
                <w:tab w:val="clear" w:pos="8640"/>
                <w:tab w:val="right" w:pos="10170"/>
              </w:tabs>
              <w:autoSpaceDE w:val="0"/>
              <w:autoSpaceDN w:val="0"/>
              <w:adjustRightInd w:val="0"/>
              <w:ind w:right="-1440"/>
            </w:pPr>
            <w:r w:rsidRPr="00A44B24">
              <w:rPr>
                <w:highlight w:val="yellow"/>
              </w:rPr>
              <w:t>&lt;logo&gt;</w:t>
            </w:r>
          </w:p>
        </w:tc>
      </w:tr>
    </w:tbl>
    <w:p w:rsidR="002921E1" w:rsidRDefault="002921E1" w:rsidP="002921E1">
      <w:pPr>
        <w:pStyle w:val="Default"/>
      </w:pPr>
    </w:p>
    <w:p w:rsidR="00B0744E" w:rsidRDefault="00B0744E" w:rsidP="002921E1">
      <w:pPr>
        <w:pStyle w:val="Default"/>
      </w:pPr>
    </w:p>
    <w:p w:rsidR="00B0744E" w:rsidRPr="00DE3EFC" w:rsidRDefault="00B0744E" w:rsidP="002921E1">
      <w:pPr>
        <w:pStyle w:val="Default"/>
      </w:pPr>
    </w:p>
    <w:p w:rsidR="002921E1" w:rsidRPr="00DE3EFC" w:rsidRDefault="002921E1" w:rsidP="002921E1">
      <w:pPr>
        <w:pStyle w:val="Default"/>
      </w:pPr>
    </w:p>
    <w:p w:rsidR="00B67888" w:rsidRPr="00C0457B" w:rsidRDefault="00B67888" w:rsidP="00B67888">
      <w:pPr>
        <w:pStyle w:val="Default"/>
        <w:tabs>
          <w:tab w:val="left" w:pos="6480"/>
        </w:tabs>
      </w:pPr>
      <w:r>
        <w:tab/>
      </w:r>
    </w:p>
    <w:p w:rsidR="00B67888" w:rsidRPr="00C0457B" w:rsidRDefault="00B67888" w:rsidP="00B67888">
      <w:pPr>
        <w:tabs>
          <w:tab w:val="left" w:pos="6480"/>
        </w:tabs>
        <w:ind w:left="1440"/>
      </w:pPr>
      <w:r w:rsidRPr="00C44678">
        <w:rPr>
          <w:highlight w:val="green"/>
        </w:rPr>
        <w:t>&lt;Member Name&gt;</w:t>
      </w:r>
      <w:r w:rsidRPr="00C0457B">
        <w:tab/>
      </w:r>
    </w:p>
    <w:p w:rsidR="00B67888" w:rsidRPr="00C0457B" w:rsidRDefault="00B67888" w:rsidP="00B67888">
      <w:pPr>
        <w:tabs>
          <w:tab w:val="left" w:pos="6480"/>
        </w:tabs>
        <w:ind w:left="1440"/>
      </w:pPr>
      <w:r w:rsidRPr="00C44678">
        <w:rPr>
          <w:highlight w:val="green"/>
        </w:rPr>
        <w:t>&lt;Address 1&gt;</w:t>
      </w:r>
      <w:r w:rsidRPr="00C0457B">
        <w:t xml:space="preserve"> </w:t>
      </w:r>
      <w:r w:rsidRPr="00C0457B">
        <w:tab/>
      </w:r>
    </w:p>
    <w:p w:rsidR="00B67888" w:rsidRPr="00C0457B" w:rsidRDefault="00B67888" w:rsidP="00B67888">
      <w:pPr>
        <w:tabs>
          <w:tab w:val="left" w:pos="6480"/>
        </w:tabs>
        <w:ind w:left="1440"/>
      </w:pPr>
      <w:r w:rsidRPr="00C44678">
        <w:rPr>
          <w:highlight w:val="green"/>
        </w:rPr>
        <w:t>&lt;Address 2&gt;</w:t>
      </w:r>
      <w:r w:rsidRPr="00C0457B">
        <w:t xml:space="preserve"> </w:t>
      </w:r>
      <w:r w:rsidRPr="00C0457B">
        <w:tab/>
      </w:r>
    </w:p>
    <w:p w:rsidR="00B67888" w:rsidRDefault="00B67888" w:rsidP="00B67888">
      <w:pPr>
        <w:tabs>
          <w:tab w:val="left" w:pos="5040"/>
        </w:tabs>
        <w:ind w:left="1440"/>
      </w:pPr>
      <w:r w:rsidRPr="00C44678">
        <w:rPr>
          <w:highlight w:val="green"/>
        </w:rPr>
        <w:t>&lt;City, ST  Zip&gt;</w:t>
      </w:r>
      <w:r w:rsidRPr="00C0457B">
        <w:tab/>
      </w:r>
      <w:r>
        <w:t xml:space="preserve">                        </w:t>
      </w:r>
    </w:p>
    <w:p w:rsidR="002645B6" w:rsidRDefault="002645B6" w:rsidP="00B67888">
      <w:pPr>
        <w:tabs>
          <w:tab w:val="left" w:pos="5040"/>
        </w:tabs>
        <w:ind w:left="1440"/>
      </w:pPr>
    </w:p>
    <w:p w:rsidR="009D7603" w:rsidRDefault="009D7603" w:rsidP="00B67888">
      <w:pPr>
        <w:tabs>
          <w:tab w:val="left" w:pos="5040"/>
        </w:tabs>
        <w:ind w:left="1440"/>
      </w:pPr>
    </w:p>
    <w:p w:rsidR="009D7603" w:rsidRPr="00DE3EFC" w:rsidRDefault="009D7603" w:rsidP="009D7603">
      <w:r w:rsidRPr="00A44B24">
        <w:rPr>
          <w:highlight w:val="green"/>
        </w:rPr>
        <w:t>&lt;</w:t>
      </w:r>
      <w:r>
        <w:rPr>
          <w:highlight w:val="green"/>
        </w:rPr>
        <w:t>DATE</w:t>
      </w:r>
      <w:r w:rsidRPr="00A44B24">
        <w:rPr>
          <w:highlight w:val="green"/>
        </w:rPr>
        <w:t>&gt;</w:t>
      </w:r>
    </w:p>
    <w:p w:rsidR="009A0504" w:rsidRDefault="009A0504" w:rsidP="009A0504"/>
    <w:p w:rsidR="009A0504" w:rsidRDefault="009A0504" w:rsidP="009A0504"/>
    <w:p w:rsidR="002645B6" w:rsidRDefault="002645B6" w:rsidP="002645B6">
      <w:pPr>
        <w:ind w:right="-360"/>
      </w:pPr>
      <w:r w:rsidRPr="00DE3EFC">
        <w:t xml:space="preserve">Dear </w:t>
      </w:r>
      <w:r w:rsidRPr="002645B6">
        <w:rPr>
          <w:highlight w:val="green"/>
        </w:rPr>
        <w:t>&lt;MemberName&gt;</w:t>
      </w:r>
      <w:r w:rsidRPr="00DE3EFC">
        <w:t xml:space="preserve">:  </w:t>
      </w:r>
    </w:p>
    <w:p w:rsidR="002645B6" w:rsidRDefault="002645B6" w:rsidP="002645B6">
      <w:pPr>
        <w:autoSpaceDE w:val="0"/>
        <w:autoSpaceDN w:val="0"/>
        <w:adjustRightInd w:val="0"/>
        <w:ind w:left="-180" w:right="-360"/>
        <w:rPr>
          <w:color w:val="000000"/>
        </w:rPr>
      </w:pPr>
      <w:bookmarkStart w:id="0" w:name="_GoBack"/>
      <w:bookmarkEnd w:id="0"/>
    </w:p>
    <w:p w:rsidR="009D7603" w:rsidRPr="009D7603" w:rsidRDefault="009D7603" w:rsidP="009D7603">
      <w:pPr>
        <w:pStyle w:val="Default"/>
      </w:pPr>
      <w:r w:rsidRPr="009D7603">
        <w:rPr>
          <w:iCs/>
        </w:rPr>
        <w:t>Medicare has told us that you have cancel</w:t>
      </w:r>
      <w:r w:rsidR="00D7464A" w:rsidRPr="00D7464A">
        <w:rPr>
          <w:iCs/>
          <w:color w:val="FF0000"/>
        </w:rPr>
        <w:t>l</w:t>
      </w:r>
      <w:r w:rsidRPr="009D7603">
        <w:rPr>
          <w:iCs/>
        </w:rPr>
        <w:t xml:space="preserve">ed your enrollment in </w:t>
      </w:r>
      <w:r w:rsidRPr="009D7603">
        <w:rPr>
          <w:iCs/>
          <w:highlight w:val="green"/>
        </w:rPr>
        <w:t>&lt;ProductDesc&gt;</w:t>
      </w:r>
      <w:r w:rsidRPr="009D7603">
        <w:rPr>
          <w:iCs/>
        </w:rPr>
        <w:t xml:space="preserve"> effective </w:t>
      </w:r>
      <w:r w:rsidRPr="009D7603">
        <w:rPr>
          <w:iCs/>
          <w:highlight w:val="green"/>
        </w:rPr>
        <w:t>&lt;DisenrollDate&gt;</w:t>
      </w:r>
      <w:r w:rsidRPr="009D7603">
        <w:rPr>
          <w:iCs/>
        </w:rPr>
        <w:t xml:space="preserve">. If this information is wrong, and you want to stay a member of our plan, please contact us. </w:t>
      </w:r>
    </w:p>
    <w:p w:rsidR="009D7603" w:rsidRPr="009D7603" w:rsidRDefault="009D7603" w:rsidP="009D7603">
      <w:pPr>
        <w:pStyle w:val="Default"/>
        <w:rPr>
          <w:iCs/>
        </w:rPr>
      </w:pPr>
    </w:p>
    <w:p w:rsidR="009D7603" w:rsidRPr="009D7603" w:rsidRDefault="009D7603" w:rsidP="009D7603">
      <w:pPr>
        <w:pStyle w:val="Default"/>
      </w:pPr>
      <w:r w:rsidRPr="009D7603">
        <w:rPr>
          <w:iCs/>
        </w:rPr>
        <w:t xml:space="preserve">Please remember that if you don’t have </w:t>
      </w:r>
      <w:r w:rsidRPr="00F344EB">
        <w:rPr>
          <w:iCs/>
          <w:strike/>
          <w:color w:val="FF0000"/>
        </w:rPr>
        <w:t>or get</w:t>
      </w:r>
      <w:r w:rsidRPr="009D7603">
        <w:rPr>
          <w:iCs/>
        </w:rPr>
        <w:t xml:space="preserve"> Medicare </w:t>
      </w:r>
      <w:r w:rsidR="00F344EB">
        <w:rPr>
          <w:iCs/>
          <w:color w:val="FF0000"/>
        </w:rPr>
        <w:t xml:space="preserve">Part D, </w:t>
      </w:r>
      <w:r w:rsidRPr="00F344EB">
        <w:rPr>
          <w:iCs/>
          <w:strike/>
          <w:color w:val="FF0000"/>
        </w:rPr>
        <w:t>prescription drug coverage</w:t>
      </w:r>
      <w:r w:rsidRPr="009D7603">
        <w:rPr>
          <w:iCs/>
        </w:rPr>
        <w:t xml:space="preserve"> or other creditable prescription drug coverage</w:t>
      </w:r>
      <w:r w:rsidR="00F344EB">
        <w:rPr>
          <w:iCs/>
          <w:color w:val="FF0000"/>
        </w:rPr>
        <w:t xml:space="preserve"> that is considered as good as Part D</w:t>
      </w:r>
      <w:r w:rsidRPr="009D7603">
        <w:rPr>
          <w:iCs/>
        </w:rPr>
        <w:t xml:space="preserve">, you may have to pay a late enrollment penalty if you enroll in Medicare prescription drug coverage in the future. </w:t>
      </w:r>
    </w:p>
    <w:p w:rsidR="009D7603" w:rsidRPr="009D7603" w:rsidRDefault="009D7603" w:rsidP="009D7603">
      <w:pPr>
        <w:pStyle w:val="Default"/>
        <w:rPr>
          <w:iCs/>
        </w:rPr>
      </w:pPr>
    </w:p>
    <w:p w:rsidR="009D7603" w:rsidRPr="009D7603" w:rsidRDefault="009D7603" w:rsidP="009D7603">
      <w:pPr>
        <w:pStyle w:val="Default"/>
        <w:rPr>
          <w:iCs/>
        </w:rPr>
      </w:pPr>
      <w:r w:rsidRPr="009D7603">
        <w:rPr>
          <w:b/>
          <w:iCs/>
          <w:highlight w:val="cyan"/>
        </w:rPr>
        <w:t>[IF BUSINESSTYPE in (’MAPD’, ‘PDP’):</w:t>
      </w:r>
      <w:r w:rsidRPr="009D7603">
        <w:rPr>
          <w:iCs/>
          <w:highlight w:val="cyan"/>
        </w:rPr>
        <w:t>People with limited incomes may qualify for extra help to pay for their prescription drug costs. If you qualify, Medicare could pay for 75% or more of your drug costs including monthly prescription drug premiums, annual deductibles, and co-insurance. Additionally, those who qualify won’t have a coverage gap or a late enrollment penalty. Many people qualify for these savings and don’t even know it. For more information about this extra help, contact your local Social Security office, or call Social Security at 1-800-772-1213. TTY users should call 1-800-325-0778. You can also apply for extra help online at www.socialsecurity.gov/prescriptionhelp.</w:t>
      </w:r>
      <w:r w:rsidRPr="009D7603">
        <w:rPr>
          <w:iCs/>
        </w:rPr>
        <w:t xml:space="preserve"> </w:t>
      </w:r>
    </w:p>
    <w:p w:rsidR="009D7603" w:rsidRPr="009D7603" w:rsidRDefault="009D7603" w:rsidP="009D7603">
      <w:pPr>
        <w:pStyle w:val="Default"/>
        <w:rPr>
          <w:iCs/>
        </w:rPr>
      </w:pPr>
    </w:p>
    <w:p w:rsidR="009D7603" w:rsidRPr="009D7603" w:rsidRDefault="009D7603" w:rsidP="009D7603">
      <w:pPr>
        <w:pStyle w:val="Default"/>
        <w:rPr>
          <w:b/>
          <w:iCs/>
        </w:rPr>
      </w:pPr>
      <w:r w:rsidRPr="009D7603">
        <w:rPr>
          <w:iCs/>
          <w:highlight w:val="cyan"/>
        </w:rPr>
        <w:t>If you qualify for extra help with your prescription drug costs you may enroll in, or disenroll from, a plan at any time. If you lose this extra help during the year, your opportunity to make a change continues for two months after you are notified that you no longer qualify for extra help.</w:t>
      </w:r>
      <w:r w:rsidRPr="009D7603">
        <w:rPr>
          <w:b/>
          <w:iCs/>
          <w:highlight w:val="cyan"/>
        </w:rPr>
        <w:t xml:space="preserve"> END IF]</w:t>
      </w:r>
    </w:p>
    <w:p w:rsidR="009D7603" w:rsidRPr="009D7603" w:rsidRDefault="009D7603" w:rsidP="009D7603">
      <w:pPr>
        <w:pStyle w:val="Default"/>
        <w:rPr>
          <w:iCs/>
        </w:rPr>
      </w:pPr>
    </w:p>
    <w:p w:rsidR="009D7603" w:rsidRPr="009D7603" w:rsidRDefault="009D7603" w:rsidP="009D7603">
      <w:pPr>
        <w:pStyle w:val="Default"/>
      </w:pPr>
      <w:r w:rsidRPr="009D7603">
        <w:rPr>
          <w:iCs/>
        </w:rPr>
        <w:t xml:space="preserve">If you have any questions, please contact </w:t>
      </w:r>
      <w:r w:rsidRPr="009D7603">
        <w:rPr>
          <w:iCs/>
          <w:highlight w:val="green"/>
        </w:rPr>
        <w:t>&lt;ProductDesc&gt;</w:t>
      </w:r>
      <w:r w:rsidRPr="009D7603">
        <w:rPr>
          <w:iCs/>
        </w:rPr>
        <w:t xml:space="preserve"> at </w:t>
      </w:r>
      <w:r w:rsidRPr="009D7603">
        <w:rPr>
          <w:iCs/>
          <w:highlight w:val="green"/>
        </w:rPr>
        <w:t>&lt;CS800Phone&gt;</w:t>
      </w:r>
      <w:r w:rsidRPr="009D7603">
        <w:rPr>
          <w:iCs/>
        </w:rPr>
        <w:t xml:space="preserve">. TTY users should call </w:t>
      </w:r>
      <w:r w:rsidRPr="009D7603">
        <w:rPr>
          <w:iCs/>
          <w:highlight w:val="green"/>
        </w:rPr>
        <w:t>&lt;CSTDDPhone&gt;</w:t>
      </w:r>
      <w:r w:rsidRPr="009D7603">
        <w:rPr>
          <w:iCs/>
        </w:rPr>
        <w:t xml:space="preserve">. We are open </w:t>
      </w:r>
      <w:r w:rsidR="00AC0FDE" w:rsidRPr="00FF639B">
        <w:rPr>
          <w:iCs/>
          <w:color w:val="auto"/>
          <w:highlight w:val="green"/>
        </w:rPr>
        <w:t>&lt;CSHOURS&gt;</w:t>
      </w:r>
      <w:r w:rsidRPr="00FF639B">
        <w:rPr>
          <w:iCs/>
          <w:color w:val="auto"/>
        </w:rPr>
        <w:t xml:space="preserve">. </w:t>
      </w:r>
    </w:p>
    <w:p w:rsidR="00A60A08" w:rsidRPr="00743195" w:rsidRDefault="00A60A08" w:rsidP="00A60A08">
      <w:pPr>
        <w:spacing w:line="276" w:lineRule="auto"/>
        <w:rPr>
          <w:rFonts w:eastAsiaTheme="minorHAnsi"/>
        </w:rPr>
      </w:pPr>
    </w:p>
    <w:p w:rsidR="00743195" w:rsidRDefault="00743195" w:rsidP="009D7603">
      <w:pPr>
        <w:spacing w:line="276" w:lineRule="auto"/>
        <w:rPr>
          <w:rFonts w:eastAsiaTheme="minorHAnsi"/>
          <w:iCs/>
        </w:rPr>
      </w:pPr>
      <w:r w:rsidRPr="00743195">
        <w:rPr>
          <w:rFonts w:eastAsiaTheme="minorHAnsi"/>
          <w:iCs/>
        </w:rPr>
        <w:t>Thank you.</w:t>
      </w:r>
    </w:p>
    <w:p w:rsidR="009D7603" w:rsidRDefault="009D7603" w:rsidP="009D7603">
      <w:pPr>
        <w:spacing w:line="276" w:lineRule="auto"/>
        <w:rPr>
          <w:rFonts w:eastAsiaTheme="minorHAnsi"/>
          <w:iCs/>
        </w:rPr>
      </w:pPr>
    </w:p>
    <w:p w:rsidR="009D7603" w:rsidRDefault="009D7603" w:rsidP="009D7603">
      <w:pPr>
        <w:spacing w:line="276" w:lineRule="auto"/>
        <w:rPr>
          <w:rFonts w:eastAsiaTheme="minorHAnsi"/>
          <w:iCs/>
        </w:rPr>
      </w:pPr>
    </w:p>
    <w:p w:rsidR="009D7603" w:rsidRPr="00743195" w:rsidRDefault="009D7603" w:rsidP="009D7603">
      <w:pPr>
        <w:spacing w:line="276" w:lineRule="auto"/>
        <w:rPr>
          <w:rFonts w:eastAsiaTheme="minorHAnsi"/>
          <w:iCs/>
        </w:rPr>
      </w:pPr>
      <w:r w:rsidRPr="009D7603">
        <w:rPr>
          <w:rFonts w:eastAsiaTheme="minorHAnsi"/>
          <w:iCs/>
          <w:highlight w:val="green"/>
        </w:rPr>
        <w:t>&lt;ProductDesc&gt;</w:t>
      </w:r>
    </w:p>
    <w:p w:rsidR="00804D7E" w:rsidRDefault="00804D7E" w:rsidP="00B0744E"/>
    <w:p w:rsidR="00886A04" w:rsidRPr="00FF639B" w:rsidRDefault="00AC0FDE" w:rsidP="00BA04DB">
      <w:pPr>
        <w:pStyle w:val="Footer"/>
        <w:widowControl w:val="0"/>
        <w:autoSpaceDE w:val="0"/>
        <w:autoSpaceDN w:val="0"/>
        <w:adjustRightInd w:val="0"/>
        <w:jc w:val="center"/>
      </w:pPr>
      <w:r w:rsidRPr="00FF639B">
        <w:rPr>
          <w:highlight w:val="green"/>
        </w:rPr>
        <w:t>&lt;FCS&gt;</w:t>
      </w:r>
    </w:p>
    <w:p w:rsidR="00B0744E" w:rsidRPr="00FF639B" w:rsidRDefault="00B0744E" w:rsidP="00B0744E"/>
    <w:p w:rsidR="00AC0FDE" w:rsidRPr="00FF639B" w:rsidRDefault="00AC0FDE" w:rsidP="00AC0FDE">
      <w:pPr>
        <w:widowControl w:val="0"/>
        <w:tabs>
          <w:tab w:val="center" w:pos="4320"/>
          <w:tab w:val="right" w:pos="8640"/>
        </w:tabs>
        <w:autoSpaceDE w:val="0"/>
        <w:autoSpaceDN w:val="0"/>
        <w:adjustRightInd w:val="0"/>
      </w:pPr>
      <w:r w:rsidRPr="00FF639B">
        <w:rPr>
          <w:szCs w:val="12"/>
          <w:highlight w:val="green"/>
        </w:rPr>
        <w:t>&lt;TAGLINE&gt;</w:t>
      </w:r>
    </w:p>
    <w:p w:rsidR="0058472F" w:rsidRDefault="0058472F" w:rsidP="00AC0FDE">
      <w:pPr>
        <w:pStyle w:val="Footer"/>
      </w:pPr>
    </w:p>
    <w:p w:rsidR="00FF639B" w:rsidRDefault="00FF639B" w:rsidP="00AC0FDE">
      <w:pPr>
        <w:pStyle w:val="Footer"/>
      </w:pPr>
    </w:p>
    <w:p w:rsidR="00FF639B" w:rsidRDefault="00FF639B">
      <w:r>
        <w:br w:type="page"/>
      </w:r>
    </w:p>
    <w:p w:rsidR="00FF639B" w:rsidRDefault="00FF639B" w:rsidP="00FF639B">
      <w:pPr>
        <w:rPr>
          <w:color w:val="FF0000"/>
        </w:rPr>
      </w:pPr>
      <w:r>
        <w:rPr>
          <w:color w:val="FF0000"/>
          <w:szCs w:val="12"/>
          <w:highlight w:val="yellow"/>
        </w:rPr>
        <w:t>&lt;NET and 1557 disclaimer&gt;</w:t>
      </w:r>
    </w:p>
    <w:p w:rsidR="00FF639B" w:rsidRPr="00FF639B" w:rsidRDefault="00FF639B" w:rsidP="00AC0FDE">
      <w:pPr>
        <w:pStyle w:val="Footer"/>
      </w:pPr>
    </w:p>
    <w:sectPr w:rsidR="00FF639B" w:rsidRPr="00FF639B" w:rsidSect="00D76C07">
      <w:footerReference w:type="default" r:id="rId7"/>
      <w:pgSz w:w="12240" w:h="15840" w:code="1"/>
      <w:pgMar w:top="720" w:right="1440" w:bottom="749" w:left="1440" w:header="720"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BA" w:rsidRDefault="00090EBA">
      <w:r>
        <w:separator/>
      </w:r>
    </w:p>
  </w:endnote>
  <w:endnote w:type="continuationSeparator" w:id="0">
    <w:p w:rsidR="00090EBA" w:rsidRDefault="0009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EBA" w:rsidRPr="00B0744E" w:rsidRDefault="00E73CC0" w:rsidP="0058472F">
    <w:pPr>
      <w:pStyle w:val="Footer"/>
      <w:tabs>
        <w:tab w:val="left" w:pos="240"/>
        <w:tab w:val="right" w:pos="10026"/>
      </w:tabs>
      <w:jc w:val="center"/>
      <w:rPr>
        <w:szCs w:val="16"/>
      </w:rPr>
    </w:pPr>
    <w:r w:rsidRPr="00B0744E">
      <w:rPr>
        <w:szCs w:val="16"/>
      </w:rPr>
      <w:fldChar w:fldCharType="begin"/>
    </w:r>
    <w:r w:rsidR="00090EBA" w:rsidRPr="00B0744E">
      <w:rPr>
        <w:szCs w:val="16"/>
      </w:rPr>
      <w:instrText xml:space="preserve"> PAGE   \* MERGEFORMAT </w:instrText>
    </w:r>
    <w:r w:rsidRPr="00B0744E">
      <w:rPr>
        <w:szCs w:val="16"/>
      </w:rPr>
      <w:fldChar w:fldCharType="separate"/>
    </w:r>
    <w:r w:rsidR="003B2D22">
      <w:rPr>
        <w:noProof/>
        <w:szCs w:val="16"/>
      </w:rPr>
      <w:t>3</w:t>
    </w:r>
    <w:r w:rsidRPr="00B0744E">
      <w:rPr>
        <w:szCs w:val="16"/>
      </w:rPr>
      <w:fldChar w:fldCharType="end"/>
    </w:r>
  </w:p>
  <w:p w:rsidR="00090EBA" w:rsidRPr="00FF639B" w:rsidRDefault="00AC0FDE" w:rsidP="009A0504">
    <w:pPr>
      <w:pStyle w:val="Footer"/>
    </w:pPr>
    <w:r w:rsidRPr="00FF639B">
      <w:rPr>
        <w:rStyle w:val="PageNumber"/>
        <w:highlight w:val="green"/>
        <w:lang w:val="es-CO"/>
      </w:rPr>
      <w:t>&lt;MATERIALID1&gt;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BA" w:rsidRDefault="00090EBA">
      <w:r>
        <w:separator/>
      </w:r>
    </w:p>
  </w:footnote>
  <w:footnote w:type="continuationSeparator" w:id="0">
    <w:p w:rsidR="00090EBA" w:rsidRDefault="00090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3B75"/>
    <w:multiLevelType w:val="hybridMultilevel"/>
    <w:tmpl w:val="36363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02616C6"/>
    <w:multiLevelType w:val="hybridMultilevel"/>
    <w:tmpl w:val="CF882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E0215E0"/>
    <w:multiLevelType w:val="hybridMultilevel"/>
    <w:tmpl w:val="8B0E36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9F576D6"/>
    <w:multiLevelType w:val="hybridMultilevel"/>
    <w:tmpl w:val="8B0E36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2443A"/>
    <w:rsid w:val="00014C7F"/>
    <w:rsid w:val="00036E45"/>
    <w:rsid w:val="00044660"/>
    <w:rsid w:val="00046A67"/>
    <w:rsid w:val="00047508"/>
    <w:rsid w:val="00047812"/>
    <w:rsid w:val="0005147B"/>
    <w:rsid w:val="000552A1"/>
    <w:rsid w:val="00062456"/>
    <w:rsid w:val="00090EBA"/>
    <w:rsid w:val="000A00B0"/>
    <w:rsid w:val="000A5413"/>
    <w:rsid w:val="000B153F"/>
    <w:rsid w:val="000C6457"/>
    <w:rsid w:val="000C75FD"/>
    <w:rsid w:val="000D2E47"/>
    <w:rsid w:val="000D3EEC"/>
    <w:rsid w:val="000E1AE8"/>
    <w:rsid w:val="000E39D0"/>
    <w:rsid w:val="000E42E8"/>
    <w:rsid w:val="000E6BEB"/>
    <w:rsid w:val="000F0090"/>
    <w:rsid w:val="001146BB"/>
    <w:rsid w:val="001174F5"/>
    <w:rsid w:val="00136392"/>
    <w:rsid w:val="00142F56"/>
    <w:rsid w:val="0015639C"/>
    <w:rsid w:val="0016309A"/>
    <w:rsid w:val="00165551"/>
    <w:rsid w:val="00165A1E"/>
    <w:rsid w:val="0017018F"/>
    <w:rsid w:val="00177FF3"/>
    <w:rsid w:val="00192470"/>
    <w:rsid w:val="001A390A"/>
    <w:rsid w:val="001A3EFB"/>
    <w:rsid w:val="001B2B5A"/>
    <w:rsid w:val="001B601D"/>
    <w:rsid w:val="001C4C9F"/>
    <w:rsid w:val="001D22BA"/>
    <w:rsid w:val="001D2850"/>
    <w:rsid w:val="001D4A09"/>
    <w:rsid w:val="001D55C4"/>
    <w:rsid w:val="001E1E92"/>
    <w:rsid w:val="001E1F27"/>
    <w:rsid w:val="001E5389"/>
    <w:rsid w:val="001F1F8E"/>
    <w:rsid w:val="001F585B"/>
    <w:rsid w:val="001F5D3E"/>
    <w:rsid w:val="00203A3D"/>
    <w:rsid w:val="002113D9"/>
    <w:rsid w:val="002127E7"/>
    <w:rsid w:val="00214267"/>
    <w:rsid w:val="002260CB"/>
    <w:rsid w:val="0023607A"/>
    <w:rsid w:val="00237BB1"/>
    <w:rsid w:val="00242435"/>
    <w:rsid w:val="002641A7"/>
    <w:rsid w:val="002645B6"/>
    <w:rsid w:val="00266AC9"/>
    <w:rsid w:val="002737B8"/>
    <w:rsid w:val="002761C3"/>
    <w:rsid w:val="002855DD"/>
    <w:rsid w:val="002921E1"/>
    <w:rsid w:val="002A643D"/>
    <w:rsid w:val="002B0E30"/>
    <w:rsid w:val="002B6800"/>
    <w:rsid w:val="002C3E83"/>
    <w:rsid w:val="002D128B"/>
    <w:rsid w:val="002D3C9E"/>
    <w:rsid w:val="002D4B97"/>
    <w:rsid w:val="002D5C4E"/>
    <w:rsid w:val="002E5657"/>
    <w:rsid w:val="002F0A43"/>
    <w:rsid w:val="002F588E"/>
    <w:rsid w:val="002F68B5"/>
    <w:rsid w:val="00310EA6"/>
    <w:rsid w:val="00312F4C"/>
    <w:rsid w:val="00313082"/>
    <w:rsid w:val="00314C75"/>
    <w:rsid w:val="00330F94"/>
    <w:rsid w:val="00341D90"/>
    <w:rsid w:val="00351D07"/>
    <w:rsid w:val="00356DA1"/>
    <w:rsid w:val="0036414C"/>
    <w:rsid w:val="00372D95"/>
    <w:rsid w:val="00374F6F"/>
    <w:rsid w:val="003A2884"/>
    <w:rsid w:val="003A45B9"/>
    <w:rsid w:val="003A539D"/>
    <w:rsid w:val="003A54A8"/>
    <w:rsid w:val="003B2D22"/>
    <w:rsid w:val="003B6034"/>
    <w:rsid w:val="003B6E9D"/>
    <w:rsid w:val="003B7432"/>
    <w:rsid w:val="003C1152"/>
    <w:rsid w:val="003D0299"/>
    <w:rsid w:val="003E3867"/>
    <w:rsid w:val="00406F73"/>
    <w:rsid w:val="00410C7B"/>
    <w:rsid w:val="0041333A"/>
    <w:rsid w:val="004145AB"/>
    <w:rsid w:val="004275F0"/>
    <w:rsid w:val="00440A88"/>
    <w:rsid w:val="00446185"/>
    <w:rsid w:val="00452490"/>
    <w:rsid w:val="00457DF8"/>
    <w:rsid w:val="00461ACD"/>
    <w:rsid w:val="00465CE7"/>
    <w:rsid w:val="00467A2E"/>
    <w:rsid w:val="00476956"/>
    <w:rsid w:val="00481521"/>
    <w:rsid w:val="00484F2B"/>
    <w:rsid w:val="00487DC9"/>
    <w:rsid w:val="00490E8E"/>
    <w:rsid w:val="004A0FB3"/>
    <w:rsid w:val="004A110B"/>
    <w:rsid w:val="004B6679"/>
    <w:rsid w:val="004C34E6"/>
    <w:rsid w:val="004D10B7"/>
    <w:rsid w:val="004E1B4D"/>
    <w:rsid w:val="00505960"/>
    <w:rsid w:val="00511888"/>
    <w:rsid w:val="00525677"/>
    <w:rsid w:val="005500BF"/>
    <w:rsid w:val="00553DF9"/>
    <w:rsid w:val="0055578E"/>
    <w:rsid w:val="005614BE"/>
    <w:rsid w:val="00582808"/>
    <w:rsid w:val="0058472F"/>
    <w:rsid w:val="005922E6"/>
    <w:rsid w:val="00593078"/>
    <w:rsid w:val="00597D32"/>
    <w:rsid w:val="005B0F41"/>
    <w:rsid w:val="005D6F22"/>
    <w:rsid w:val="005E29D8"/>
    <w:rsid w:val="005E4361"/>
    <w:rsid w:val="005F5199"/>
    <w:rsid w:val="005F6B59"/>
    <w:rsid w:val="00601843"/>
    <w:rsid w:val="00623952"/>
    <w:rsid w:val="00623CE1"/>
    <w:rsid w:val="0062443A"/>
    <w:rsid w:val="00630CF1"/>
    <w:rsid w:val="00631E90"/>
    <w:rsid w:val="00633ED8"/>
    <w:rsid w:val="00636B9D"/>
    <w:rsid w:val="00650687"/>
    <w:rsid w:val="00650B88"/>
    <w:rsid w:val="00661910"/>
    <w:rsid w:val="0066397C"/>
    <w:rsid w:val="00676B0E"/>
    <w:rsid w:val="00681E4A"/>
    <w:rsid w:val="006856CB"/>
    <w:rsid w:val="00691D18"/>
    <w:rsid w:val="006A1F7D"/>
    <w:rsid w:val="006D02EC"/>
    <w:rsid w:val="006D3F4B"/>
    <w:rsid w:val="006D4E0C"/>
    <w:rsid w:val="006E23E1"/>
    <w:rsid w:val="006E5FF7"/>
    <w:rsid w:val="006E7FA4"/>
    <w:rsid w:val="006F19F1"/>
    <w:rsid w:val="006F4D49"/>
    <w:rsid w:val="006F691A"/>
    <w:rsid w:val="00704422"/>
    <w:rsid w:val="00704945"/>
    <w:rsid w:val="007073D8"/>
    <w:rsid w:val="00707C7E"/>
    <w:rsid w:val="00711675"/>
    <w:rsid w:val="00721EF0"/>
    <w:rsid w:val="00722C24"/>
    <w:rsid w:val="00727449"/>
    <w:rsid w:val="00733E04"/>
    <w:rsid w:val="0073504E"/>
    <w:rsid w:val="007403DD"/>
    <w:rsid w:val="00743195"/>
    <w:rsid w:val="007533E2"/>
    <w:rsid w:val="00762FA0"/>
    <w:rsid w:val="0077159C"/>
    <w:rsid w:val="0077493E"/>
    <w:rsid w:val="00775943"/>
    <w:rsid w:val="00783991"/>
    <w:rsid w:val="007844C9"/>
    <w:rsid w:val="007855EE"/>
    <w:rsid w:val="00793272"/>
    <w:rsid w:val="007A188B"/>
    <w:rsid w:val="007A4B20"/>
    <w:rsid w:val="007B0C98"/>
    <w:rsid w:val="007B25C3"/>
    <w:rsid w:val="007C47C2"/>
    <w:rsid w:val="007D2886"/>
    <w:rsid w:val="007E34F8"/>
    <w:rsid w:val="007E53E1"/>
    <w:rsid w:val="007E5DE3"/>
    <w:rsid w:val="007F0398"/>
    <w:rsid w:val="007F3761"/>
    <w:rsid w:val="00804D7E"/>
    <w:rsid w:val="008102B6"/>
    <w:rsid w:val="00814406"/>
    <w:rsid w:val="00814D0A"/>
    <w:rsid w:val="00822870"/>
    <w:rsid w:val="0082510E"/>
    <w:rsid w:val="00825F9D"/>
    <w:rsid w:val="008422D2"/>
    <w:rsid w:val="008429CE"/>
    <w:rsid w:val="00846306"/>
    <w:rsid w:val="0085080D"/>
    <w:rsid w:val="008668F3"/>
    <w:rsid w:val="00874310"/>
    <w:rsid w:val="00875028"/>
    <w:rsid w:val="008832CB"/>
    <w:rsid w:val="00886A04"/>
    <w:rsid w:val="00891048"/>
    <w:rsid w:val="00892B49"/>
    <w:rsid w:val="00893425"/>
    <w:rsid w:val="008942D3"/>
    <w:rsid w:val="008A0F8C"/>
    <w:rsid w:val="008B041D"/>
    <w:rsid w:val="008B44F5"/>
    <w:rsid w:val="008B7CBD"/>
    <w:rsid w:val="008C280E"/>
    <w:rsid w:val="008D4560"/>
    <w:rsid w:val="009065FC"/>
    <w:rsid w:val="00906C78"/>
    <w:rsid w:val="00932652"/>
    <w:rsid w:val="00965993"/>
    <w:rsid w:val="0096690D"/>
    <w:rsid w:val="00970AF9"/>
    <w:rsid w:val="009737EF"/>
    <w:rsid w:val="00982014"/>
    <w:rsid w:val="00982948"/>
    <w:rsid w:val="0098695C"/>
    <w:rsid w:val="0098718D"/>
    <w:rsid w:val="009A0504"/>
    <w:rsid w:val="009A2784"/>
    <w:rsid w:val="009A6CF4"/>
    <w:rsid w:val="009B514C"/>
    <w:rsid w:val="009C194E"/>
    <w:rsid w:val="009C1F7A"/>
    <w:rsid w:val="009C496B"/>
    <w:rsid w:val="009D177C"/>
    <w:rsid w:val="009D7603"/>
    <w:rsid w:val="009E0C3B"/>
    <w:rsid w:val="009E272C"/>
    <w:rsid w:val="009E2A88"/>
    <w:rsid w:val="00A12B1D"/>
    <w:rsid w:val="00A23EA1"/>
    <w:rsid w:val="00A3036B"/>
    <w:rsid w:val="00A42662"/>
    <w:rsid w:val="00A44B24"/>
    <w:rsid w:val="00A47444"/>
    <w:rsid w:val="00A47EE7"/>
    <w:rsid w:val="00A50ACD"/>
    <w:rsid w:val="00A51800"/>
    <w:rsid w:val="00A60A08"/>
    <w:rsid w:val="00A672A4"/>
    <w:rsid w:val="00A7001E"/>
    <w:rsid w:val="00A708E2"/>
    <w:rsid w:val="00A718D3"/>
    <w:rsid w:val="00A75EA7"/>
    <w:rsid w:val="00A7647C"/>
    <w:rsid w:val="00A777CD"/>
    <w:rsid w:val="00AA4A9E"/>
    <w:rsid w:val="00AB3547"/>
    <w:rsid w:val="00AB70DF"/>
    <w:rsid w:val="00AC0852"/>
    <w:rsid w:val="00AC0FDE"/>
    <w:rsid w:val="00AE04C0"/>
    <w:rsid w:val="00AE3C24"/>
    <w:rsid w:val="00B0342A"/>
    <w:rsid w:val="00B0744E"/>
    <w:rsid w:val="00B11FB4"/>
    <w:rsid w:val="00B17072"/>
    <w:rsid w:val="00B2230D"/>
    <w:rsid w:val="00B26E97"/>
    <w:rsid w:val="00B65DA7"/>
    <w:rsid w:val="00B6601B"/>
    <w:rsid w:val="00B66AB3"/>
    <w:rsid w:val="00B67888"/>
    <w:rsid w:val="00B67DD3"/>
    <w:rsid w:val="00B801F4"/>
    <w:rsid w:val="00B80D65"/>
    <w:rsid w:val="00B9053B"/>
    <w:rsid w:val="00B91542"/>
    <w:rsid w:val="00B94C70"/>
    <w:rsid w:val="00BA02A0"/>
    <w:rsid w:val="00BA04DB"/>
    <w:rsid w:val="00BB16AA"/>
    <w:rsid w:val="00BB464B"/>
    <w:rsid w:val="00BB47D4"/>
    <w:rsid w:val="00BC0758"/>
    <w:rsid w:val="00BC1458"/>
    <w:rsid w:val="00BC52DA"/>
    <w:rsid w:val="00BE3A27"/>
    <w:rsid w:val="00BE6AB7"/>
    <w:rsid w:val="00BF120E"/>
    <w:rsid w:val="00BF39B0"/>
    <w:rsid w:val="00C04D2B"/>
    <w:rsid w:val="00C27879"/>
    <w:rsid w:val="00C449E6"/>
    <w:rsid w:val="00C52F5A"/>
    <w:rsid w:val="00C53C1F"/>
    <w:rsid w:val="00C65C3B"/>
    <w:rsid w:val="00C65CE9"/>
    <w:rsid w:val="00C65F10"/>
    <w:rsid w:val="00C66012"/>
    <w:rsid w:val="00C76FCF"/>
    <w:rsid w:val="00C84EF2"/>
    <w:rsid w:val="00C85495"/>
    <w:rsid w:val="00C92BDA"/>
    <w:rsid w:val="00CA68A2"/>
    <w:rsid w:val="00CB185E"/>
    <w:rsid w:val="00CB325A"/>
    <w:rsid w:val="00CB7507"/>
    <w:rsid w:val="00CD2A57"/>
    <w:rsid w:val="00CE5E0C"/>
    <w:rsid w:val="00CF7009"/>
    <w:rsid w:val="00D15715"/>
    <w:rsid w:val="00D33755"/>
    <w:rsid w:val="00D378B2"/>
    <w:rsid w:val="00D62C06"/>
    <w:rsid w:val="00D739AB"/>
    <w:rsid w:val="00D7464A"/>
    <w:rsid w:val="00D76C07"/>
    <w:rsid w:val="00D83F27"/>
    <w:rsid w:val="00D84125"/>
    <w:rsid w:val="00D842AB"/>
    <w:rsid w:val="00D84355"/>
    <w:rsid w:val="00D90546"/>
    <w:rsid w:val="00DA047C"/>
    <w:rsid w:val="00DA72AA"/>
    <w:rsid w:val="00DC409A"/>
    <w:rsid w:val="00DD6491"/>
    <w:rsid w:val="00DD65DB"/>
    <w:rsid w:val="00E12E69"/>
    <w:rsid w:val="00E20EFD"/>
    <w:rsid w:val="00E3321E"/>
    <w:rsid w:val="00E36411"/>
    <w:rsid w:val="00E4368A"/>
    <w:rsid w:val="00E627A0"/>
    <w:rsid w:val="00E6674B"/>
    <w:rsid w:val="00E725A3"/>
    <w:rsid w:val="00E73CC0"/>
    <w:rsid w:val="00EA0731"/>
    <w:rsid w:val="00ED1247"/>
    <w:rsid w:val="00ED1697"/>
    <w:rsid w:val="00ED69AD"/>
    <w:rsid w:val="00ED7EA6"/>
    <w:rsid w:val="00EE33DD"/>
    <w:rsid w:val="00EE77C4"/>
    <w:rsid w:val="00F03836"/>
    <w:rsid w:val="00F03A40"/>
    <w:rsid w:val="00F074EB"/>
    <w:rsid w:val="00F07D42"/>
    <w:rsid w:val="00F2227D"/>
    <w:rsid w:val="00F33186"/>
    <w:rsid w:val="00F33464"/>
    <w:rsid w:val="00F344EB"/>
    <w:rsid w:val="00F353C3"/>
    <w:rsid w:val="00F43A98"/>
    <w:rsid w:val="00F515CC"/>
    <w:rsid w:val="00F657CA"/>
    <w:rsid w:val="00F767F9"/>
    <w:rsid w:val="00F77A3B"/>
    <w:rsid w:val="00F839B8"/>
    <w:rsid w:val="00F83DED"/>
    <w:rsid w:val="00F9491D"/>
    <w:rsid w:val="00FC45AF"/>
    <w:rsid w:val="00FD37D1"/>
    <w:rsid w:val="00FD3D12"/>
    <w:rsid w:val="00FE0846"/>
    <w:rsid w:val="00FE1FC9"/>
    <w:rsid w:val="00FF0A10"/>
    <w:rsid w:val="00FF1CD3"/>
    <w:rsid w:val="00FF373F"/>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0E1AD9-F9AD-45AF-BA42-6405D4D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490"/>
    <w:rPr>
      <w:sz w:val="24"/>
      <w:szCs w:val="24"/>
    </w:rPr>
  </w:style>
  <w:style w:type="paragraph" w:styleId="Heading1">
    <w:name w:val="heading 1"/>
    <w:basedOn w:val="Normal"/>
    <w:next w:val="Normal"/>
    <w:qFormat/>
    <w:rsid w:val="007F3761"/>
    <w:pPr>
      <w:keepNext/>
      <w:outlineLvl w:val="0"/>
    </w:pPr>
    <w:rPr>
      <w:szCs w:val="20"/>
    </w:rPr>
  </w:style>
  <w:style w:type="paragraph" w:styleId="Heading2">
    <w:name w:val="heading 2"/>
    <w:basedOn w:val="Normal"/>
    <w:next w:val="Normal"/>
    <w:link w:val="Heading2Char"/>
    <w:semiHidden/>
    <w:unhideWhenUsed/>
    <w:qFormat/>
    <w:rsid w:val="00804D7E"/>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3082"/>
    <w:pPr>
      <w:autoSpaceDE w:val="0"/>
      <w:autoSpaceDN w:val="0"/>
      <w:adjustRightInd w:val="0"/>
    </w:pPr>
    <w:rPr>
      <w:color w:val="000000"/>
      <w:sz w:val="24"/>
      <w:szCs w:val="24"/>
    </w:rPr>
  </w:style>
  <w:style w:type="paragraph" w:styleId="Header">
    <w:name w:val="header"/>
    <w:basedOn w:val="Normal"/>
    <w:rsid w:val="00313082"/>
    <w:pPr>
      <w:tabs>
        <w:tab w:val="center" w:pos="4320"/>
        <w:tab w:val="right" w:pos="8640"/>
      </w:tabs>
    </w:pPr>
  </w:style>
  <w:style w:type="paragraph" w:styleId="Footer">
    <w:name w:val="footer"/>
    <w:basedOn w:val="Normal"/>
    <w:link w:val="FooterChar"/>
    <w:rsid w:val="00313082"/>
    <w:pPr>
      <w:tabs>
        <w:tab w:val="center" w:pos="4320"/>
        <w:tab w:val="right" w:pos="8640"/>
      </w:tabs>
    </w:pPr>
  </w:style>
  <w:style w:type="table" w:styleId="TableGrid">
    <w:name w:val="Table Grid"/>
    <w:basedOn w:val="TableNormal"/>
    <w:rsid w:val="002921E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921E1"/>
    <w:rPr>
      <w:color w:val="0000FF"/>
      <w:u w:val="single"/>
    </w:rPr>
  </w:style>
  <w:style w:type="character" w:customStyle="1" w:styleId="FooterChar">
    <w:name w:val="Footer Char"/>
    <w:basedOn w:val="DefaultParagraphFont"/>
    <w:link w:val="Footer"/>
    <w:rsid w:val="00B0744E"/>
    <w:rPr>
      <w:sz w:val="24"/>
      <w:szCs w:val="24"/>
    </w:rPr>
  </w:style>
  <w:style w:type="paragraph" w:styleId="BodyText">
    <w:name w:val="Body Text"/>
    <w:basedOn w:val="Normal"/>
    <w:link w:val="BodyTextChar"/>
    <w:rsid w:val="00AC0852"/>
    <w:pPr>
      <w:spacing w:before="60" w:after="240"/>
      <w:ind w:firstLine="720"/>
    </w:pPr>
  </w:style>
  <w:style w:type="character" w:customStyle="1" w:styleId="BodyTextChar">
    <w:name w:val="Body Text Char"/>
    <w:basedOn w:val="DefaultParagraphFont"/>
    <w:link w:val="BodyText"/>
    <w:rsid w:val="00AC0852"/>
    <w:rPr>
      <w:sz w:val="24"/>
      <w:szCs w:val="24"/>
    </w:rPr>
  </w:style>
  <w:style w:type="character" w:customStyle="1" w:styleId="Heading2Char">
    <w:name w:val="Heading 2 Char"/>
    <w:basedOn w:val="DefaultParagraphFont"/>
    <w:link w:val="Heading2"/>
    <w:semiHidden/>
    <w:rsid w:val="00804D7E"/>
    <w:rPr>
      <w:rFonts w:ascii="Cambria" w:eastAsia="Times New Roman" w:hAnsi="Cambria" w:cs="Times New Roman"/>
      <w:b/>
      <w:bCs/>
      <w:i/>
      <w:iCs/>
      <w:sz w:val="28"/>
      <w:szCs w:val="28"/>
    </w:rPr>
  </w:style>
  <w:style w:type="character" w:styleId="PageNumber">
    <w:name w:val="page number"/>
    <w:basedOn w:val="DefaultParagraphFont"/>
    <w:rsid w:val="00804D7E"/>
  </w:style>
  <w:style w:type="paragraph" w:styleId="ListParagraph">
    <w:name w:val="List Paragraph"/>
    <w:basedOn w:val="Normal"/>
    <w:uiPriority w:val="34"/>
    <w:qFormat/>
    <w:rsid w:val="003A288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1270">
      <w:bodyDiv w:val="1"/>
      <w:marLeft w:val="0"/>
      <w:marRight w:val="0"/>
      <w:marTop w:val="0"/>
      <w:marBottom w:val="0"/>
      <w:divBdr>
        <w:top w:val="none" w:sz="0" w:space="0" w:color="auto"/>
        <w:left w:val="none" w:sz="0" w:space="0" w:color="auto"/>
        <w:bottom w:val="none" w:sz="0" w:space="0" w:color="auto"/>
        <w:right w:val="none" w:sz="0" w:space="0" w:color="auto"/>
      </w:divBdr>
    </w:div>
    <w:div w:id="116066633">
      <w:bodyDiv w:val="1"/>
      <w:marLeft w:val="0"/>
      <w:marRight w:val="0"/>
      <w:marTop w:val="0"/>
      <w:marBottom w:val="0"/>
      <w:divBdr>
        <w:top w:val="none" w:sz="0" w:space="0" w:color="auto"/>
        <w:left w:val="none" w:sz="0" w:space="0" w:color="auto"/>
        <w:bottom w:val="none" w:sz="0" w:space="0" w:color="auto"/>
        <w:right w:val="none" w:sz="0" w:space="0" w:color="auto"/>
      </w:divBdr>
      <w:divsChild>
        <w:div w:id="183910394">
          <w:marLeft w:val="0"/>
          <w:marRight w:val="0"/>
          <w:marTop w:val="0"/>
          <w:marBottom w:val="0"/>
          <w:divBdr>
            <w:top w:val="none" w:sz="0" w:space="0" w:color="auto"/>
            <w:left w:val="none" w:sz="0" w:space="0" w:color="auto"/>
            <w:bottom w:val="none" w:sz="0" w:space="0" w:color="auto"/>
            <w:right w:val="none" w:sz="0" w:space="0" w:color="auto"/>
          </w:divBdr>
        </w:div>
      </w:divsChild>
    </w:div>
    <w:div w:id="907039746">
      <w:bodyDiv w:val="1"/>
      <w:marLeft w:val="0"/>
      <w:marRight w:val="0"/>
      <w:marTop w:val="0"/>
      <w:marBottom w:val="0"/>
      <w:divBdr>
        <w:top w:val="none" w:sz="0" w:space="0" w:color="auto"/>
        <w:left w:val="none" w:sz="0" w:space="0" w:color="auto"/>
        <w:bottom w:val="none" w:sz="0" w:space="0" w:color="auto"/>
        <w:right w:val="none" w:sz="0" w:space="0" w:color="auto"/>
      </w:divBdr>
    </w:div>
    <w:div w:id="909267109">
      <w:bodyDiv w:val="1"/>
      <w:marLeft w:val="0"/>
      <w:marRight w:val="0"/>
      <w:marTop w:val="0"/>
      <w:marBottom w:val="0"/>
      <w:divBdr>
        <w:top w:val="none" w:sz="0" w:space="0" w:color="auto"/>
        <w:left w:val="none" w:sz="0" w:space="0" w:color="auto"/>
        <w:bottom w:val="none" w:sz="0" w:space="0" w:color="auto"/>
        <w:right w:val="none" w:sz="0" w:space="0" w:color="auto"/>
      </w:divBdr>
      <w:divsChild>
        <w:div w:id="1294024009">
          <w:marLeft w:val="0"/>
          <w:marRight w:val="0"/>
          <w:marTop w:val="0"/>
          <w:marBottom w:val="0"/>
          <w:divBdr>
            <w:top w:val="none" w:sz="0" w:space="0" w:color="auto"/>
            <w:left w:val="none" w:sz="0" w:space="0" w:color="auto"/>
            <w:bottom w:val="none" w:sz="0" w:space="0" w:color="auto"/>
            <w:right w:val="none" w:sz="0" w:space="0" w:color="auto"/>
          </w:divBdr>
        </w:div>
      </w:divsChild>
    </w:div>
    <w:div w:id="1275476697">
      <w:bodyDiv w:val="1"/>
      <w:marLeft w:val="0"/>
      <w:marRight w:val="0"/>
      <w:marTop w:val="0"/>
      <w:marBottom w:val="0"/>
      <w:divBdr>
        <w:top w:val="none" w:sz="0" w:space="0" w:color="auto"/>
        <w:left w:val="none" w:sz="0" w:space="0" w:color="auto"/>
        <w:bottom w:val="none" w:sz="0" w:space="0" w:color="auto"/>
        <w:right w:val="none" w:sz="0" w:space="0" w:color="auto"/>
      </w:divBdr>
    </w:div>
    <w:div w:id="16153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073\Downloads\Medisys\Letter%20Generalization\18%20Nov\Pragasam's\RFI_CANCEL_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RFI_CANCEL_13.DOT</Template>
  <TotalTime>10</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Exhibit 1: Model Notice for Beneficiary Attestation of Creditable</vt:lpstr>
    </vt:vector>
  </TitlesOfParts>
  <Company>WellPoint,  Inc.</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1: Model Notice for Beneficiary Attestation of Creditable</dc:title>
  <dc:creator>Pragasam</dc:creator>
  <cp:lastModifiedBy>Patty Voss</cp:lastModifiedBy>
  <cp:revision>5</cp:revision>
  <dcterms:created xsi:type="dcterms:W3CDTF">2015-05-07T14:58:00Z</dcterms:created>
  <dcterms:modified xsi:type="dcterms:W3CDTF">2018-05-08T16:56:00Z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