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884" w:rsidRPr="000F0090" w:rsidRDefault="003A2884" w:rsidP="003A2884">
      <w:pPr>
        <w:outlineLvl w:val="0"/>
        <w:rPr>
          <w:b/>
          <w:bCs/>
        </w:rPr>
      </w:pPr>
      <w:r w:rsidRPr="000F0090">
        <w:rPr>
          <w:b/>
          <w:bCs/>
        </w:rPr>
        <w:t>Core/Basic Requirements (applies to all letters):</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Entire letter, including footers, must be in 12 pt Times New Roman font</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Logo placement must be in upper right corner of letter and on first page only</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Return address must be in upper left corner, and on first page only</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Wherever Brand Name is used, it must be completely spelled out, not abbreviated</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Letter Date must always print on letter, placement may be different. Letter Date equals the date letter was generated.</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 xml:space="preserve">Material ID placement is always in the footer, left justified, and must print on every page of the letter. </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Page number placement is always in the footer, centered, and must print on every page of the letter</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Federal Contracting Statement (FCS) and taglines must adhere to the current plan year Medicare Marketing Guidelines</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Federal Contracting Statement (FCS) must print on the last page of letter only and before the tagline</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Tagline must print on the last page of the letter only and after the FCS</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 xml:space="preserve">A &lt; &gt; indicates this field is data driven, and should be included in data layout provided by IT. The data passed, should be placed within the &lt; &gt;’s, and the &lt; &gt;’s should be omitted.  </w:t>
      </w:r>
    </w:p>
    <w:p w:rsidR="003A2884" w:rsidRPr="000F0090" w:rsidRDefault="003A2884" w:rsidP="003A2884">
      <w:pPr>
        <w:pStyle w:val="ListParagraph"/>
        <w:numPr>
          <w:ilvl w:val="0"/>
          <w:numId w:val="1"/>
        </w:numPr>
        <w:spacing w:after="0" w:line="240" w:lineRule="auto"/>
        <w:rPr>
          <w:rFonts w:ascii="Times New Roman" w:hAnsi="Times New Roman"/>
          <w:bCs/>
          <w:sz w:val="24"/>
          <w:szCs w:val="24"/>
        </w:rPr>
      </w:pPr>
      <w:r w:rsidRPr="000F0090">
        <w:rPr>
          <w:rFonts w:ascii="Times New Roman" w:hAnsi="Times New Roman"/>
          <w:bCs/>
          <w:sz w:val="24"/>
          <w:szCs w:val="24"/>
        </w:rPr>
        <w:t xml:space="preserve">A [ ] indicates this is a variable paragraph which is dependent on a business rule. If the business rule meets the criteria, the entire text within the [ ]’s should be printed (with the exception of the </w:t>
      </w:r>
      <w:r w:rsidRPr="000F0090">
        <w:rPr>
          <w:rFonts w:ascii="Times New Roman" w:hAnsi="Times New Roman"/>
          <w:b/>
          <w:bCs/>
          <w:sz w:val="24"/>
          <w:szCs w:val="24"/>
        </w:rPr>
        <w:t xml:space="preserve">bold </w:t>
      </w:r>
      <w:r w:rsidRPr="000F0090">
        <w:rPr>
          <w:rFonts w:ascii="Times New Roman" w:hAnsi="Times New Roman"/>
          <w:bCs/>
          <w:sz w:val="24"/>
          <w:szCs w:val="24"/>
        </w:rPr>
        <w:t>tag prefix, the colon, and the [ ]’s. If the criteria does not meet the business rule, the entire text within the []’s should be omitted.</w:t>
      </w:r>
    </w:p>
    <w:p w:rsidR="003A2884" w:rsidRPr="000F0090" w:rsidRDefault="003A2884" w:rsidP="003A2884">
      <w:pPr>
        <w:rPr>
          <w:bCs/>
        </w:rPr>
      </w:pPr>
    </w:p>
    <w:p w:rsidR="003A2884" w:rsidRPr="000F0090" w:rsidRDefault="003A2884" w:rsidP="003A2884">
      <w:pPr>
        <w:outlineLvl w:val="0"/>
        <w:rPr>
          <w:bCs/>
        </w:rPr>
      </w:pPr>
      <w:r w:rsidRPr="000F0090">
        <w:rPr>
          <w:bCs/>
          <w:highlight w:val="yellow"/>
        </w:rPr>
        <w:t>Yellow</w:t>
      </w:r>
      <w:r w:rsidRPr="000F0090">
        <w:rPr>
          <w:bCs/>
        </w:rPr>
        <w:t xml:space="preserve"> highlighted fields are rule driven and are defined by business</w:t>
      </w:r>
    </w:p>
    <w:p w:rsidR="003A2884" w:rsidRPr="000F0090" w:rsidRDefault="003A2884" w:rsidP="003A2884">
      <w:pPr>
        <w:rPr>
          <w:bCs/>
        </w:rPr>
      </w:pPr>
      <w:r w:rsidRPr="000F0090">
        <w:rPr>
          <w:bCs/>
          <w:highlight w:val="green"/>
        </w:rPr>
        <w:t>Green</w:t>
      </w:r>
      <w:r w:rsidRPr="000F0090">
        <w:rPr>
          <w:bCs/>
        </w:rPr>
        <w:t xml:space="preserve"> highlighted fields are data driven, should be included in data layout provided by IT</w:t>
      </w:r>
    </w:p>
    <w:p w:rsidR="003A2884" w:rsidRPr="000F0090" w:rsidRDefault="003A2884" w:rsidP="003A2884">
      <w:pPr>
        <w:rPr>
          <w:bCs/>
        </w:rPr>
      </w:pPr>
      <w:r w:rsidRPr="000F0090">
        <w:rPr>
          <w:bCs/>
          <w:highlight w:val="cyan"/>
        </w:rPr>
        <w:t>Blue</w:t>
      </w:r>
      <w:r w:rsidRPr="000F0090">
        <w:rPr>
          <w:bCs/>
        </w:rPr>
        <w:t xml:space="preserve"> highlighted fields are variable paragraphs that are defined by business (possibly used across letters) – This example is the hours of operation, IND has different ones than EGR but the paragraph verbiage (for each) is the same on each letter.</w:t>
      </w:r>
    </w:p>
    <w:p w:rsidR="003A2884" w:rsidRPr="000F0090" w:rsidRDefault="003A2884" w:rsidP="003A2884">
      <w:pPr>
        <w:pStyle w:val="ListParagraph"/>
        <w:numPr>
          <w:ilvl w:val="0"/>
          <w:numId w:val="2"/>
        </w:numPr>
        <w:rPr>
          <w:rFonts w:ascii="Times New Roman" w:hAnsi="Times New Roman"/>
          <w:sz w:val="24"/>
          <w:szCs w:val="24"/>
        </w:rPr>
      </w:pPr>
      <w:r w:rsidRPr="000F0090">
        <w:rPr>
          <w:rFonts w:ascii="Times New Roman" w:hAnsi="Times New Roman"/>
          <w:sz w:val="24"/>
          <w:szCs w:val="24"/>
        </w:rPr>
        <w:t xml:space="preserve">In Excel, document: Data Field, </w:t>
      </w:r>
      <w:r w:rsidRPr="000F0090">
        <w:rPr>
          <w:rFonts w:ascii="Times New Roman" w:hAnsi="Times New Roman"/>
          <w:sz w:val="24"/>
          <w:szCs w:val="24"/>
          <w:highlight w:val="yellow"/>
        </w:rPr>
        <w:t>Rule</w:t>
      </w:r>
      <w:r w:rsidRPr="000F0090">
        <w:rPr>
          <w:rFonts w:ascii="Times New Roman" w:hAnsi="Times New Roman"/>
          <w:sz w:val="24"/>
          <w:szCs w:val="24"/>
        </w:rPr>
        <w:t xml:space="preserve"> v. </w:t>
      </w:r>
      <w:r w:rsidRPr="000F0090">
        <w:rPr>
          <w:rFonts w:ascii="Times New Roman" w:hAnsi="Times New Roman"/>
          <w:sz w:val="24"/>
          <w:szCs w:val="24"/>
          <w:highlight w:val="green"/>
        </w:rPr>
        <w:t>Data</w:t>
      </w:r>
      <w:r w:rsidRPr="000F0090">
        <w:rPr>
          <w:rFonts w:ascii="Times New Roman" w:hAnsi="Times New Roman"/>
          <w:sz w:val="24"/>
          <w:szCs w:val="24"/>
        </w:rPr>
        <w:t xml:space="preserve"> Driven, Format (can be determined later)</w:t>
      </w:r>
    </w:p>
    <w:p w:rsidR="003A2884" w:rsidRPr="000F0090" w:rsidRDefault="003A2884" w:rsidP="003A2884">
      <w:pPr>
        <w:outlineLvl w:val="0"/>
        <w:rPr>
          <w:b/>
          <w:bCs/>
        </w:rPr>
      </w:pPr>
      <w:r w:rsidRPr="000F0090">
        <w:rPr>
          <w:b/>
          <w:bCs/>
        </w:rPr>
        <w:t>Letter Specific Requirements:</w:t>
      </w:r>
    </w:p>
    <w:p w:rsidR="003A2884" w:rsidRPr="000F0090" w:rsidRDefault="003A2884" w:rsidP="003A2884">
      <w:pPr>
        <w:pStyle w:val="ListParagraph"/>
        <w:numPr>
          <w:ilvl w:val="0"/>
          <w:numId w:val="3"/>
        </w:numPr>
        <w:spacing w:after="0" w:line="240" w:lineRule="auto"/>
        <w:outlineLvl w:val="0"/>
        <w:rPr>
          <w:rFonts w:ascii="Times New Roman" w:hAnsi="Times New Roman"/>
          <w:bCs/>
          <w:sz w:val="24"/>
          <w:szCs w:val="24"/>
        </w:rPr>
      </w:pPr>
      <w:r w:rsidRPr="000F0090">
        <w:rPr>
          <w:rFonts w:ascii="Times New Roman" w:hAnsi="Times New Roman"/>
          <w:bCs/>
          <w:sz w:val="24"/>
          <w:szCs w:val="24"/>
        </w:rPr>
        <w:t>Use to clarify the “IF” statements</w:t>
      </w:r>
    </w:p>
    <w:p w:rsidR="003A2884" w:rsidRPr="000F0090" w:rsidRDefault="003A2884" w:rsidP="003A2884">
      <w:pPr>
        <w:pStyle w:val="ListParagraph"/>
        <w:numPr>
          <w:ilvl w:val="1"/>
          <w:numId w:val="3"/>
        </w:numPr>
        <w:spacing w:after="0" w:line="240" w:lineRule="auto"/>
        <w:outlineLvl w:val="0"/>
        <w:rPr>
          <w:rFonts w:ascii="Times New Roman" w:hAnsi="Times New Roman"/>
          <w:bCs/>
          <w:sz w:val="24"/>
          <w:szCs w:val="24"/>
        </w:rPr>
      </w:pPr>
      <w:r w:rsidRPr="000F0090">
        <w:rPr>
          <w:rFonts w:ascii="Times New Roman" w:hAnsi="Times New Roman"/>
          <w:bCs/>
          <w:sz w:val="24"/>
          <w:szCs w:val="24"/>
        </w:rPr>
        <w:t xml:space="preserve">For any optional/variable paragraph in the letter, use “IF” statement at the beginning of paragraph, then “END IF” at the end of the paragraph. Example: </w:t>
      </w:r>
      <w:r w:rsidRPr="000F0090">
        <w:rPr>
          <w:rFonts w:ascii="Times New Roman" w:hAnsi="Times New Roman"/>
          <w:bCs/>
          <w:sz w:val="24"/>
          <w:szCs w:val="24"/>
          <w:highlight w:val="cyan"/>
        </w:rPr>
        <w:t>[</w:t>
      </w:r>
      <w:r w:rsidRPr="000F0090">
        <w:rPr>
          <w:rFonts w:ascii="Times New Roman" w:hAnsi="Times New Roman"/>
          <w:b/>
          <w:bCs/>
          <w:sz w:val="24"/>
          <w:szCs w:val="24"/>
          <w:highlight w:val="cyan"/>
        </w:rPr>
        <w:t>IF HMO</w:t>
      </w:r>
      <w:r w:rsidRPr="000F0090">
        <w:rPr>
          <w:rFonts w:ascii="Times New Roman" w:hAnsi="Times New Roman"/>
          <w:bCs/>
          <w:sz w:val="24"/>
          <w:szCs w:val="24"/>
          <w:highlight w:val="cyan"/>
        </w:rPr>
        <w:t xml:space="preserve">: Please remember that except for emergency or out-of-area urgent care, or out-of-area dialysis services, if you get health care services from a non-&lt;Plan Name&gt; doctor without prior authorization, you will have to pay for these services yourself. </w:t>
      </w:r>
      <w:r w:rsidRPr="000F0090">
        <w:rPr>
          <w:rFonts w:ascii="Times New Roman" w:hAnsi="Times New Roman"/>
          <w:b/>
          <w:bCs/>
          <w:sz w:val="24"/>
          <w:szCs w:val="24"/>
          <w:highlight w:val="cyan"/>
        </w:rPr>
        <w:t>END IF</w:t>
      </w:r>
      <w:r w:rsidRPr="000F0090">
        <w:rPr>
          <w:rFonts w:ascii="Times New Roman" w:hAnsi="Times New Roman"/>
          <w:bCs/>
          <w:sz w:val="24"/>
          <w:szCs w:val="24"/>
          <w:highlight w:val="cyan"/>
        </w:rPr>
        <w:t>]</w:t>
      </w:r>
    </w:p>
    <w:p w:rsidR="003A2884" w:rsidRPr="000F0090" w:rsidRDefault="003A2884" w:rsidP="003A2884">
      <w:pPr>
        <w:pStyle w:val="Default"/>
        <w:numPr>
          <w:ilvl w:val="0"/>
          <w:numId w:val="3"/>
        </w:numPr>
      </w:pPr>
      <w:r w:rsidRPr="000F0090">
        <w:rPr>
          <w:bCs/>
        </w:rPr>
        <w:t xml:space="preserve">Letter must be sent </w:t>
      </w:r>
      <w:r w:rsidRPr="000F0090">
        <w:t xml:space="preserve">10 calendar days of receiving enrollment request or of approval from CMS to limit enrollment </w:t>
      </w:r>
    </w:p>
    <w:p w:rsidR="003A2884" w:rsidRPr="000F0090" w:rsidRDefault="003A2884" w:rsidP="003A2884">
      <w:pPr>
        <w:ind w:left="360"/>
        <w:outlineLvl w:val="0"/>
        <w:rPr>
          <w:bCs/>
        </w:rPr>
      </w:pPr>
    </w:p>
    <w:p w:rsidR="003A2884" w:rsidRPr="000F0090" w:rsidRDefault="003A2884" w:rsidP="003A2884">
      <w:pPr>
        <w:outlineLvl w:val="0"/>
        <w:rPr>
          <w:b/>
          <w:bCs/>
        </w:rPr>
      </w:pPr>
      <w:r w:rsidRPr="000F0090">
        <w:rPr>
          <w:b/>
          <w:bCs/>
        </w:rPr>
        <w:t>System Triggers:</w:t>
      </w:r>
    </w:p>
    <w:p w:rsidR="003A2884" w:rsidRPr="000F0090" w:rsidRDefault="003A2884" w:rsidP="003A2884">
      <w:pPr>
        <w:pStyle w:val="ListParagraph"/>
        <w:numPr>
          <w:ilvl w:val="0"/>
          <w:numId w:val="4"/>
        </w:numPr>
        <w:spacing w:after="0" w:line="240" w:lineRule="auto"/>
        <w:outlineLvl w:val="0"/>
        <w:rPr>
          <w:rFonts w:ascii="Times New Roman" w:hAnsi="Times New Roman"/>
          <w:bCs/>
          <w:sz w:val="24"/>
          <w:szCs w:val="24"/>
        </w:rPr>
      </w:pPr>
      <w:r w:rsidRPr="000F0090">
        <w:rPr>
          <w:rFonts w:ascii="Times New Roman" w:hAnsi="Times New Roman"/>
          <w:bCs/>
          <w:sz w:val="24"/>
          <w:szCs w:val="24"/>
        </w:rPr>
        <w:t>Assumption: Letters will trigger using the same criteria as in production today</w:t>
      </w:r>
    </w:p>
    <w:p w:rsidR="003A2884" w:rsidRPr="000F0090" w:rsidRDefault="003A2884" w:rsidP="003A2884">
      <w:pPr>
        <w:pStyle w:val="ListParagraph"/>
        <w:numPr>
          <w:ilvl w:val="0"/>
          <w:numId w:val="4"/>
        </w:numPr>
        <w:spacing w:after="0" w:line="240" w:lineRule="auto"/>
        <w:outlineLvl w:val="0"/>
        <w:rPr>
          <w:rFonts w:ascii="Times New Roman" w:hAnsi="Times New Roman"/>
          <w:bCs/>
          <w:sz w:val="24"/>
          <w:szCs w:val="24"/>
        </w:rPr>
      </w:pPr>
      <w:r w:rsidRPr="000F0090">
        <w:rPr>
          <w:rFonts w:ascii="Times New Roman" w:hAnsi="Times New Roman"/>
          <w:bCs/>
          <w:sz w:val="24"/>
          <w:szCs w:val="24"/>
        </w:rPr>
        <w:t>Assumption: Letter codes will remain the same</w:t>
      </w:r>
    </w:p>
    <w:p w:rsidR="003A2884" w:rsidRPr="00C47BA9" w:rsidRDefault="003A2884" w:rsidP="003A2884">
      <w:pPr>
        <w:pStyle w:val="ListParagraph"/>
        <w:numPr>
          <w:ilvl w:val="0"/>
          <w:numId w:val="4"/>
        </w:numPr>
        <w:spacing w:after="0" w:line="240" w:lineRule="auto"/>
        <w:outlineLvl w:val="0"/>
        <w:rPr>
          <w:bCs/>
          <w:sz w:val="24"/>
          <w:szCs w:val="24"/>
        </w:rPr>
      </w:pPr>
      <w:r w:rsidRPr="000F0090">
        <w:rPr>
          <w:rFonts w:ascii="Times New Roman" w:hAnsi="Times New Roman"/>
          <w:bCs/>
          <w:sz w:val="24"/>
          <w:szCs w:val="24"/>
        </w:rPr>
        <w:t>Assumption: Limited liability will be updated with letter event code and date</w:t>
      </w:r>
    </w:p>
    <w:p w:rsidR="003A2884" w:rsidRPr="003A2884" w:rsidRDefault="003A2884" w:rsidP="003A2884">
      <w:pPr>
        <w:spacing w:after="200" w:line="276" w:lineRule="auto"/>
        <w:rPr>
          <w:bCs/>
        </w:rPr>
      </w:pPr>
      <w:r>
        <w:br w:type="page"/>
      </w:r>
    </w:p>
    <w:tbl>
      <w:tblPr>
        <w:tblpPr w:leftFromText="180" w:rightFromText="180" w:vertAnchor="page" w:horzAnchor="margin" w:tblpY="426"/>
        <w:tblW w:w="10373" w:type="dxa"/>
        <w:tblLayout w:type="fixed"/>
        <w:tblCellMar>
          <w:left w:w="115" w:type="dxa"/>
          <w:right w:w="115" w:type="dxa"/>
        </w:tblCellMar>
        <w:tblLook w:val="01E0" w:firstRow="1" w:lastRow="1" w:firstColumn="1" w:lastColumn="1" w:noHBand="0" w:noVBand="0"/>
      </w:tblPr>
      <w:tblGrid>
        <w:gridCol w:w="6415"/>
        <w:gridCol w:w="3958"/>
      </w:tblGrid>
      <w:tr w:rsidR="002921E1" w:rsidRPr="00DE3EFC" w:rsidTr="00B0744E">
        <w:trPr>
          <w:trHeight w:val="900"/>
        </w:trPr>
        <w:tc>
          <w:tcPr>
            <w:tcW w:w="6415" w:type="dxa"/>
          </w:tcPr>
          <w:p w:rsidR="0002143E" w:rsidRDefault="0002143E" w:rsidP="0002143E">
            <w:pPr>
              <w:widowControl w:val="0"/>
              <w:tabs>
                <w:tab w:val="center" w:pos="5760"/>
                <w:tab w:val="right" w:pos="10170"/>
              </w:tabs>
              <w:autoSpaceDE w:val="0"/>
              <w:autoSpaceDN w:val="0"/>
              <w:adjustRightInd w:val="0"/>
              <w:ind w:right="-1440"/>
            </w:pPr>
            <w:r w:rsidRPr="00382BE6">
              <w:rPr>
                <w:highlight w:val="green"/>
              </w:rPr>
              <w:lastRenderedPageBreak/>
              <w:t>&lt;BLUESPLAN&gt;</w:t>
            </w:r>
            <w:r w:rsidRPr="00382BE6">
              <w:rPr>
                <w:strike/>
              </w:rPr>
              <w:t xml:space="preserve">                                                                         </w:t>
            </w:r>
            <w:r w:rsidRPr="00382BE6">
              <w:rPr>
                <w:strike/>
              </w:rPr>
              <w:br/>
            </w:r>
            <w:r w:rsidRPr="00382BE6">
              <w:rPr>
                <w:highlight w:val="green"/>
              </w:rPr>
              <w:t>&lt;RETURNADDR1&gt;</w:t>
            </w:r>
          </w:p>
          <w:p w:rsidR="0002143E" w:rsidRPr="00382BE6" w:rsidRDefault="0002143E" w:rsidP="0002143E">
            <w:pPr>
              <w:widowControl w:val="0"/>
              <w:tabs>
                <w:tab w:val="center" w:pos="5760"/>
                <w:tab w:val="right" w:pos="10170"/>
              </w:tabs>
              <w:autoSpaceDE w:val="0"/>
              <w:autoSpaceDN w:val="0"/>
              <w:adjustRightInd w:val="0"/>
              <w:ind w:right="-1440"/>
            </w:pPr>
            <w:r w:rsidRPr="00382BE6">
              <w:rPr>
                <w:highlight w:val="green"/>
              </w:rPr>
              <w:t>&lt;RETURNADDR2</w:t>
            </w:r>
            <w:r w:rsidRPr="0043751E">
              <w:rPr>
                <w:highlight w:val="green"/>
              </w:rPr>
              <w:t>&gt;</w:t>
            </w:r>
          </w:p>
          <w:p w:rsidR="002921E1" w:rsidRDefault="002921E1" w:rsidP="00B0744E">
            <w:pPr>
              <w:pStyle w:val="Header"/>
              <w:widowControl w:val="0"/>
              <w:tabs>
                <w:tab w:val="clear" w:pos="8640"/>
                <w:tab w:val="right" w:pos="10170"/>
              </w:tabs>
              <w:autoSpaceDE w:val="0"/>
              <w:autoSpaceDN w:val="0"/>
              <w:adjustRightInd w:val="0"/>
              <w:ind w:right="-1440"/>
            </w:pPr>
          </w:p>
          <w:p w:rsidR="00EC6E46" w:rsidRPr="00FE7356" w:rsidRDefault="00EC6E46" w:rsidP="00B0744E">
            <w:pPr>
              <w:pStyle w:val="Header"/>
              <w:widowControl w:val="0"/>
              <w:tabs>
                <w:tab w:val="clear" w:pos="8640"/>
                <w:tab w:val="right" w:pos="10170"/>
              </w:tabs>
              <w:autoSpaceDE w:val="0"/>
              <w:autoSpaceDN w:val="0"/>
              <w:adjustRightInd w:val="0"/>
              <w:ind w:right="-1440"/>
            </w:pPr>
            <w:r w:rsidRPr="00FE7356">
              <w:t xml:space="preserve">Important </w:t>
            </w:r>
            <w:r w:rsidRPr="00FE7356">
              <w:rPr>
                <w:highlight w:val="green"/>
              </w:rPr>
              <w:t>&lt;PRODUCTDESC&gt;</w:t>
            </w:r>
            <w:r w:rsidRPr="00FE7356">
              <w:t xml:space="preserve"> information</w:t>
            </w:r>
          </w:p>
        </w:tc>
        <w:tc>
          <w:tcPr>
            <w:tcW w:w="3958" w:type="dxa"/>
          </w:tcPr>
          <w:p w:rsidR="002921E1" w:rsidRPr="00DE3EFC" w:rsidRDefault="00A44B24" w:rsidP="00B0744E">
            <w:pPr>
              <w:pStyle w:val="Header"/>
              <w:widowControl w:val="0"/>
              <w:tabs>
                <w:tab w:val="clear" w:pos="8640"/>
                <w:tab w:val="right" w:pos="10170"/>
              </w:tabs>
              <w:autoSpaceDE w:val="0"/>
              <w:autoSpaceDN w:val="0"/>
              <w:adjustRightInd w:val="0"/>
              <w:ind w:right="-1440"/>
            </w:pPr>
            <w:r w:rsidRPr="00A44B24">
              <w:rPr>
                <w:highlight w:val="yellow"/>
              </w:rPr>
              <w:t>&lt;logo&gt;</w:t>
            </w:r>
          </w:p>
        </w:tc>
      </w:tr>
    </w:tbl>
    <w:p w:rsidR="002921E1" w:rsidRPr="00DE3EFC" w:rsidRDefault="00A44B24" w:rsidP="002921E1">
      <w:pPr>
        <w:ind w:left="6480"/>
      </w:pPr>
      <w:r w:rsidRPr="00A44B24">
        <w:rPr>
          <w:highlight w:val="green"/>
        </w:rPr>
        <w:t>&lt;</w:t>
      </w:r>
      <w:r w:rsidR="002B0E30">
        <w:rPr>
          <w:highlight w:val="green"/>
        </w:rPr>
        <w:t>DATE</w:t>
      </w:r>
      <w:r w:rsidRPr="00A44B24">
        <w:rPr>
          <w:highlight w:val="green"/>
        </w:rPr>
        <w:t>&gt;</w:t>
      </w:r>
    </w:p>
    <w:p w:rsidR="002921E1" w:rsidRDefault="002921E1" w:rsidP="002921E1">
      <w:pPr>
        <w:pStyle w:val="Default"/>
      </w:pPr>
    </w:p>
    <w:p w:rsidR="00B0744E" w:rsidRDefault="00B0744E" w:rsidP="002921E1">
      <w:pPr>
        <w:pStyle w:val="Default"/>
      </w:pPr>
    </w:p>
    <w:p w:rsidR="00B0744E" w:rsidRPr="00DE3EFC" w:rsidRDefault="00B0744E" w:rsidP="002921E1">
      <w:pPr>
        <w:pStyle w:val="Default"/>
      </w:pPr>
    </w:p>
    <w:p w:rsidR="002921E1" w:rsidRPr="00DE3EFC" w:rsidRDefault="002921E1" w:rsidP="002921E1">
      <w:pPr>
        <w:pStyle w:val="Default"/>
      </w:pPr>
    </w:p>
    <w:p w:rsidR="00B67888" w:rsidRPr="00C0457B" w:rsidRDefault="00B67888" w:rsidP="00B67888">
      <w:pPr>
        <w:pStyle w:val="Default"/>
        <w:tabs>
          <w:tab w:val="left" w:pos="6480"/>
        </w:tabs>
      </w:pPr>
      <w:r>
        <w:tab/>
      </w:r>
      <w:r w:rsidRPr="00C44678">
        <w:rPr>
          <w:highlight w:val="green"/>
        </w:rPr>
        <w:t>&lt;HCID&gt;</w:t>
      </w:r>
    </w:p>
    <w:p w:rsidR="00B67888" w:rsidRPr="00C0457B" w:rsidRDefault="00B67888" w:rsidP="00B67888">
      <w:pPr>
        <w:tabs>
          <w:tab w:val="left" w:pos="6480"/>
        </w:tabs>
        <w:ind w:left="1440"/>
      </w:pPr>
      <w:r w:rsidRPr="00C44678">
        <w:rPr>
          <w:highlight w:val="green"/>
        </w:rPr>
        <w:t>&lt;Member Name&gt;</w:t>
      </w:r>
      <w:r w:rsidRPr="00C0457B">
        <w:tab/>
      </w:r>
      <w:r w:rsidRPr="00C44678">
        <w:rPr>
          <w:highlight w:val="green"/>
        </w:rPr>
        <w:t>&lt;HCID&gt;</w:t>
      </w:r>
    </w:p>
    <w:p w:rsidR="00B67888" w:rsidRPr="00C0457B" w:rsidRDefault="00B67888" w:rsidP="00B67888">
      <w:pPr>
        <w:tabs>
          <w:tab w:val="left" w:pos="6480"/>
        </w:tabs>
        <w:ind w:left="1440"/>
      </w:pPr>
      <w:r w:rsidRPr="00C44678">
        <w:rPr>
          <w:highlight w:val="green"/>
        </w:rPr>
        <w:t>&lt;Address 1&gt;</w:t>
      </w:r>
      <w:r w:rsidRPr="00C0457B">
        <w:t xml:space="preserve"> </w:t>
      </w:r>
      <w:r w:rsidRPr="00C0457B">
        <w:tab/>
      </w:r>
      <w:r w:rsidRPr="00C44678">
        <w:rPr>
          <w:highlight w:val="green"/>
        </w:rPr>
        <w:t>&lt;GID&gt;</w:t>
      </w:r>
    </w:p>
    <w:p w:rsidR="00B67888" w:rsidRPr="00C0457B" w:rsidRDefault="00B67888" w:rsidP="00B67888">
      <w:pPr>
        <w:tabs>
          <w:tab w:val="left" w:pos="6480"/>
        </w:tabs>
        <w:ind w:left="1440"/>
      </w:pPr>
      <w:r w:rsidRPr="00C44678">
        <w:rPr>
          <w:highlight w:val="green"/>
        </w:rPr>
        <w:t>&lt;Address 2&gt;</w:t>
      </w:r>
      <w:r w:rsidRPr="00C0457B">
        <w:t xml:space="preserve"> </w:t>
      </w:r>
      <w:r w:rsidRPr="00C0457B">
        <w:tab/>
      </w:r>
      <w:r w:rsidRPr="00C44678">
        <w:rPr>
          <w:highlight w:val="green"/>
        </w:rPr>
        <w:t>&lt;RXBIN&gt;</w:t>
      </w:r>
    </w:p>
    <w:p w:rsidR="00B67888" w:rsidRDefault="00B67888" w:rsidP="00B67888">
      <w:pPr>
        <w:tabs>
          <w:tab w:val="left" w:pos="5040"/>
        </w:tabs>
        <w:ind w:left="1440"/>
      </w:pPr>
      <w:r w:rsidRPr="00C44678">
        <w:rPr>
          <w:highlight w:val="green"/>
        </w:rPr>
        <w:t>&lt;City, ST  Zip&gt;</w:t>
      </w:r>
      <w:r w:rsidRPr="00C0457B">
        <w:tab/>
      </w:r>
      <w:r>
        <w:t xml:space="preserve">                        </w:t>
      </w:r>
      <w:r w:rsidRPr="00C44678">
        <w:rPr>
          <w:highlight w:val="green"/>
        </w:rPr>
        <w:t>&lt;RXPCN&gt;</w:t>
      </w:r>
    </w:p>
    <w:p w:rsidR="009A0504" w:rsidRPr="00DE3EFC" w:rsidRDefault="009A0504" w:rsidP="009A0504"/>
    <w:p w:rsidR="009A0504" w:rsidRDefault="009A0504" w:rsidP="009A0504"/>
    <w:p w:rsidR="009A0504" w:rsidRDefault="009A0504" w:rsidP="009A0504"/>
    <w:p w:rsidR="009A0504" w:rsidRDefault="009A0504" w:rsidP="009A0504">
      <w:r w:rsidRPr="00DE3EFC">
        <w:t xml:space="preserve">Dear </w:t>
      </w:r>
      <w:r w:rsidRPr="009A0504">
        <w:rPr>
          <w:highlight w:val="green"/>
        </w:rPr>
        <w:t>&lt;Salutation&gt;</w:t>
      </w:r>
      <w:r>
        <w:t>:</w:t>
      </w:r>
    </w:p>
    <w:p w:rsidR="009A0504" w:rsidRDefault="009A0504" w:rsidP="009A0504"/>
    <w:p w:rsidR="00B67888" w:rsidRPr="00B67888" w:rsidRDefault="00090EBA" w:rsidP="00B67888">
      <w:pPr>
        <w:autoSpaceDE w:val="0"/>
        <w:autoSpaceDN w:val="0"/>
        <w:adjustRightInd w:val="0"/>
        <w:rPr>
          <w:b/>
          <w:color w:val="000000"/>
        </w:rPr>
      </w:pPr>
      <w:r w:rsidRPr="00090EBA">
        <w:rPr>
          <w:b/>
          <w:color w:val="000000"/>
          <w:highlight w:val="cyan"/>
        </w:rPr>
        <w:t>[IF HMO</w:t>
      </w:r>
      <w:r w:rsidR="00EA5C04">
        <w:rPr>
          <w:b/>
          <w:color w:val="000000"/>
          <w:highlight w:val="cyan"/>
        </w:rPr>
        <w:t xml:space="preserve"> or DHMO</w:t>
      </w:r>
      <w:r w:rsidRPr="00090EBA">
        <w:rPr>
          <w:b/>
          <w:color w:val="000000"/>
          <w:highlight w:val="cyan"/>
        </w:rPr>
        <w:t xml:space="preserve">: </w:t>
      </w:r>
      <w:r w:rsidR="00B67888" w:rsidRPr="00090EBA">
        <w:rPr>
          <w:color w:val="000000"/>
          <w:highlight w:val="cyan"/>
        </w:rPr>
        <w:t xml:space="preserve">Thank you for your request to change your enrollment </w:t>
      </w:r>
      <w:r w:rsidR="00B67888" w:rsidRPr="00090EBA">
        <w:rPr>
          <w:highlight w:val="cyan"/>
        </w:rPr>
        <w:t xml:space="preserve">from </w:t>
      </w:r>
      <w:r w:rsidR="00B67888" w:rsidRPr="00090EBA">
        <w:rPr>
          <w:highlight w:val="green"/>
        </w:rPr>
        <w:t>&lt;Variable1&gt;</w:t>
      </w:r>
      <w:r w:rsidR="00B67888" w:rsidRPr="00090EBA">
        <w:rPr>
          <w:color w:val="000000"/>
          <w:highlight w:val="cyan"/>
        </w:rPr>
        <w:t xml:space="preserve"> to </w:t>
      </w:r>
      <w:r w:rsidR="00B67888" w:rsidRPr="00090EBA">
        <w:rPr>
          <w:highlight w:val="green"/>
        </w:rPr>
        <w:t>&lt;ProductDesc&gt;</w:t>
      </w:r>
      <w:r w:rsidR="00B67888" w:rsidRPr="00090EBA">
        <w:rPr>
          <w:color w:val="000000"/>
          <w:highlight w:val="cyan"/>
        </w:rPr>
        <w:t xml:space="preserve">. Starting </w:t>
      </w:r>
      <w:r w:rsidR="00B67888" w:rsidRPr="00090EBA">
        <w:rPr>
          <w:color w:val="000000"/>
          <w:highlight w:val="green"/>
        </w:rPr>
        <w:t>&lt;BenefitEff&gt;</w:t>
      </w:r>
      <w:r w:rsidR="00B67888" w:rsidRPr="00090EBA">
        <w:rPr>
          <w:color w:val="000000"/>
          <w:highlight w:val="cyan"/>
        </w:rPr>
        <w:t xml:space="preserve">, you must see your </w:t>
      </w:r>
      <w:r w:rsidR="00B67888" w:rsidRPr="00090EBA">
        <w:rPr>
          <w:color w:val="000000"/>
          <w:highlight w:val="green"/>
        </w:rPr>
        <w:t>&lt;ProductDesc&gt;</w:t>
      </w:r>
      <w:r w:rsidR="00B67888" w:rsidRPr="00090EBA">
        <w:rPr>
          <w:color w:val="000000"/>
          <w:highlight w:val="cyan"/>
        </w:rPr>
        <w:t xml:space="preserve"> doctor(s) for your health care. This means that starting </w:t>
      </w:r>
      <w:r w:rsidR="00B67888" w:rsidRPr="00090EBA">
        <w:rPr>
          <w:color w:val="000000"/>
          <w:highlight w:val="green"/>
        </w:rPr>
        <w:t>&lt;BenefitEff&gt;</w:t>
      </w:r>
      <w:r w:rsidR="00B67888" w:rsidRPr="00090EBA">
        <w:rPr>
          <w:color w:val="000000"/>
          <w:highlight w:val="cyan"/>
        </w:rPr>
        <w:t xml:space="preserve">, all of your health care, except emergency or urgently needed care, </w:t>
      </w:r>
      <w:r w:rsidR="00B67888" w:rsidRPr="00090EBA">
        <w:rPr>
          <w:b/>
          <w:bCs/>
          <w:color w:val="000000"/>
          <w:highlight w:val="cyan"/>
        </w:rPr>
        <w:t>or out-of-area dialysis services</w:t>
      </w:r>
      <w:r w:rsidR="00B67888" w:rsidRPr="00090EBA">
        <w:rPr>
          <w:color w:val="000000"/>
          <w:highlight w:val="cyan"/>
        </w:rPr>
        <w:t xml:space="preserve">, must be given or arranged by a </w:t>
      </w:r>
      <w:r w:rsidR="00B67888" w:rsidRPr="00090EBA">
        <w:rPr>
          <w:color w:val="000000"/>
          <w:highlight w:val="green"/>
        </w:rPr>
        <w:t>&lt;ProductDesc&gt;</w:t>
      </w:r>
      <w:r w:rsidR="00B67888" w:rsidRPr="00090EBA">
        <w:rPr>
          <w:color w:val="000000"/>
          <w:highlight w:val="cyan"/>
        </w:rPr>
        <w:t xml:space="preserve"> doctor(s). You will need to pay your plan copayments at the time you get health care services. This letter is proof of health insurance that you should show during your doctor appointments. </w:t>
      </w:r>
      <w:r w:rsidR="00B67888" w:rsidRPr="00090EBA">
        <w:rPr>
          <w:b/>
          <w:color w:val="000000"/>
          <w:highlight w:val="cyan"/>
        </w:rPr>
        <w:t>[IF MAPD:</w:t>
      </w:r>
      <w:r w:rsidR="00B67888" w:rsidRPr="00090EBA">
        <w:rPr>
          <w:color w:val="000000"/>
          <w:highlight w:val="cyan"/>
        </w:rPr>
        <w:t xml:space="preserve"> This letter is also proof of your prescription drug coverage. You should show this letter at the pharmacy until you get your member card from us.</w:t>
      </w:r>
      <w:r w:rsidR="00B67888" w:rsidRPr="00090EBA">
        <w:rPr>
          <w:b/>
          <w:color w:val="000000"/>
          <w:highlight w:val="cyan"/>
        </w:rPr>
        <w:t>END-IF]</w:t>
      </w:r>
      <w:r w:rsidRPr="00090EBA">
        <w:rPr>
          <w:b/>
          <w:color w:val="000000"/>
          <w:highlight w:val="cyan"/>
        </w:rPr>
        <w:t xml:space="preserve"> END-IF]</w:t>
      </w:r>
    </w:p>
    <w:p w:rsidR="00090EBA" w:rsidRPr="00090EBA" w:rsidRDefault="00090EBA" w:rsidP="00090EBA">
      <w:pPr>
        <w:autoSpaceDE w:val="0"/>
        <w:autoSpaceDN w:val="0"/>
        <w:adjustRightInd w:val="0"/>
        <w:rPr>
          <w:b/>
          <w:color w:val="000000"/>
        </w:rPr>
      </w:pPr>
      <w:r w:rsidRPr="00090EBA">
        <w:rPr>
          <w:b/>
          <w:iCs/>
          <w:highlight w:val="cyan"/>
        </w:rPr>
        <w:t xml:space="preserve">[IF PPO: </w:t>
      </w:r>
      <w:r w:rsidRPr="00090EBA">
        <w:rPr>
          <w:color w:val="000000"/>
          <w:highlight w:val="cyan"/>
        </w:rPr>
        <w:t xml:space="preserve">Thank you for your request to change your enrollment </w:t>
      </w:r>
      <w:r w:rsidRPr="00090EBA">
        <w:rPr>
          <w:highlight w:val="cyan"/>
        </w:rPr>
        <w:t xml:space="preserve">from </w:t>
      </w:r>
      <w:r w:rsidRPr="00090EBA">
        <w:rPr>
          <w:highlight w:val="green"/>
        </w:rPr>
        <w:t>&lt;Variable1&gt;</w:t>
      </w:r>
      <w:r w:rsidRPr="00090EBA">
        <w:rPr>
          <w:color w:val="000000"/>
          <w:highlight w:val="cyan"/>
        </w:rPr>
        <w:t xml:space="preserve"> to </w:t>
      </w:r>
      <w:r w:rsidRPr="00090EBA">
        <w:rPr>
          <w:color w:val="000000"/>
          <w:highlight w:val="green"/>
        </w:rPr>
        <w:t>&lt;</w:t>
      </w:r>
      <w:r w:rsidRPr="00090EBA">
        <w:rPr>
          <w:highlight w:val="green"/>
        </w:rPr>
        <w:t>ProductDesc&gt;</w:t>
      </w:r>
      <w:r w:rsidRPr="00090EBA">
        <w:rPr>
          <w:color w:val="000000"/>
          <w:highlight w:val="cyan"/>
        </w:rPr>
        <w:t xml:space="preserve">. Beginning </w:t>
      </w:r>
      <w:r w:rsidRPr="00090EBA">
        <w:rPr>
          <w:color w:val="000000"/>
          <w:highlight w:val="green"/>
        </w:rPr>
        <w:t>&lt;BenefitEff&gt;</w:t>
      </w:r>
      <w:r w:rsidRPr="00090EBA">
        <w:rPr>
          <w:color w:val="000000"/>
          <w:highlight w:val="cyan"/>
        </w:rPr>
        <w:t>, you must get your health care as provided in your “Evidence of Coverage”.  You will need to pay your plan co-payments and co-insurance at the time you get health care services, as provided in your member materials. This letter is proof of insurance that you should show during your doctor appointments until you get your member card from us. [</w:t>
      </w:r>
      <w:r w:rsidRPr="00090EBA">
        <w:rPr>
          <w:b/>
          <w:color w:val="000000"/>
          <w:highlight w:val="cyan"/>
        </w:rPr>
        <w:t>IF MAPD:</w:t>
      </w:r>
      <w:r>
        <w:rPr>
          <w:b/>
          <w:color w:val="000000"/>
          <w:highlight w:val="cyan"/>
        </w:rPr>
        <w:t xml:space="preserve"> </w:t>
      </w:r>
      <w:r w:rsidRPr="00090EBA">
        <w:rPr>
          <w:color w:val="000000"/>
          <w:highlight w:val="cyan"/>
        </w:rPr>
        <w:t>This letter is also proof of your prescription drug coverage. You should show this letter at the pharmacy until you get your member card from us.</w:t>
      </w:r>
      <w:r w:rsidRPr="00090EBA">
        <w:rPr>
          <w:b/>
          <w:color w:val="000000"/>
          <w:highlight w:val="cyan"/>
        </w:rPr>
        <w:t>END-IF] END-IF]</w:t>
      </w:r>
    </w:p>
    <w:p w:rsidR="00090EBA" w:rsidRPr="00090EBA" w:rsidRDefault="00090EBA" w:rsidP="00B67888">
      <w:pPr>
        <w:autoSpaceDE w:val="0"/>
        <w:autoSpaceDN w:val="0"/>
        <w:adjustRightInd w:val="0"/>
        <w:rPr>
          <w:b/>
          <w:iCs/>
        </w:rPr>
      </w:pPr>
    </w:p>
    <w:p w:rsidR="00B67888" w:rsidRPr="00EC3B77" w:rsidRDefault="00B67888" w:rsidP="00B67888">
      <w:pPr>
        <w:autoSpaceDE w:val="0"/>
        <w:autoSpaceDN w:val="0"/>
        <w:adjustRightInd w:val="0"/>
        <w:rPr>
          <w:b/>
          <w:bCs/>
          <w:color w:val="000000"/>
        </w:rPr>
      </w:pPr>
      <w:r w:rsidRPr="00EC3B77">
        <w:rPr>
          <w:b/>
          <w:bCs/>
          <w:color w:val="000000"/>
        </w:rPr>
        <w:t>What should I do now?</w:t>
      </w:r>
    </w:p>
    <w:p w:rsidR="00B67888" w:rsidRPr="00EC3B77" w:rsidRDefault="00B67888" w:rsidP="00B67888">
      <w:pPr>
        <w:autoSpaceDE w:val="0"/>
        <w:autoSpaceDN w:val="0"/>
        <w:adjustRightInd w:val="0"/>
        <w:rPr>
          <w:color w:val="000000"/>
        </w:rPr>
      </w:pPr>
      <w:r w:rsidRPr="00EC3B77">
        <w:rPr>
          <w:color w:val="000000"/>
        </w:rPr>
        <w:t>Medicare must review all enrollments. We will send your enrollment to Medicare, and they will</w:t>
      </w:r>
      <w:r>
        <w:rPr>
          <w:color w:val="000000"/>
        </w:rPr>
        <w:t xml:space="preserve"> </w:t>
      </w:r>
      <w:r w:rsidRPr="00EC3B77">
        <w:rPr>
          <w:color w:val="000000"/>
        </w:rPr>
        <w:t>do a final review. When Medicare finishes its review, we will send you a letter to confirm your</w:t>
      </w:r>
      <w:r>
        <w:rPr>
          <w:color w:val="000000"/>
        </w:rPr>
        <w:t xml:space="preserve"> </w:t>
      </w:r>
      <w:r w:rsidRPr="00EC3B77">
        <w:rPr>
          <w:color w:val="000000"/>
        </w:rPr>
        <w:t xml:space="preserve">enrollment with </w:t>
      </w:r>
      <w:r w:rsidRPr="00B67888">
        <w:rPr>
          <w:color w:val="000000"/>
          <w:highlight w:val="green"/>
        </w:rPr>
        <w:t>&lt;ProductDesc&gt;</w:t>
      </w:r>
      <w:r w:rsidRPr="00EC3B77">
        <w:rPr>
          <w:color w:val="000000"/>
        </w:rPr>
        <w:t>. But, you shouldn’t wait to get this letter before you begin</w:t>
      </w:r>
      <w:r>
        <w:rPr>
          <w:color w:val="000000"/>
        </w:rPr>
        <w:t xml:space="preserve"> </w:t>
      </w:r>
      <w:r w:rsidRPr="00EC3B77">
        <w:rPr>
          <w:color w:val="000000"/>
        </w:rPr>
        <w:t xml:space="preserve">using </w:t>
      </w:r>
      <w:r w:rsidRPr="00B67888">
        <w:rPr>
          <w:color w:val="000000"/>
          <w:highlight w:val="green"/>
        </w:rPr>
        <w:t>&lt;ProductDesc&gt;</w:t>
      </w:r>
      <w:r w:rsidRPr="00EC3B77">
        <w:rPr>
          <w:color w:val="000000"/>
        </w:rPr>
        <w:t xml:space="preserve"> doctors on </w:t>
      </w:r>
      <w:r w:rsidRPr="00B67888">
        <w:rPr>
          <w:color w:val="000000"/>
          <w:highlight w:val="green"/>
        </w:rPr>
        <w:t>&lt;BenefitEff&gt;</w:t>
      </w:r>
      <w:r w:rsidRPr="00EC3B77">
        <w:rPr>
          <w:color w:val="000000"/>
        </w:rPr>
        <w:t>.</w:t>
      </w:r>
    </w:p>
    <w:p w:rsidR="00B67888" w:rsidRPr="00EC3B77" w:rsidRDefault="00B67888" w:rsidP="00B67888">
      <w:pPr>
        <w:autoSpaceDE w:val="0"/>
        <w:autoSpaceDN w:val="0"/>
        <w:adjustRightInd w:val="0"/>
        <w:rPr>
          <w:color w:val="000000"/>
        </w:rPr>
      </w:pPr>
    </w:p>
    <w:p w:rsidR="00B67888" w:rsidRPr="00090EBA" w:rsidRDefault="00090EBA" w:rsidP="00B67888">
      <w:pPr>
        <w:autoSpaceDE w:val="0"/>
        <w:autoSpaceDN w:val="0"/>
        <w:adjustRightInd w:val="0"/>
        <w:rPr>
          <w:b/>
          <w:color w:val="000000"/>
        </w:rPr>
      </w:pPr>
      <w:r w:rsidRPr="00090EBA">
        <w:rPr>
          <w:b/>
          <w:color w:val="000000"/>
          <w:highlight w:val="cyan"/>
        </w:rPr>
        <w:t>[IF HMO</w:t>
      </w:r>
      <w:r w:rsidR="00EA5C04">
        <w:rPr>
          <w:b/>
          <w:color w:val="000000"/>
          <w:highlight w:val="cyan"/>
        </w:rPr>
        <w:t xml:space="preserve"> or DHMO</w:t>
      </w:r>
      <w:r w:rsidRPr="00090EBA">
        <w:rPr>
          <w:b/>
          <w:color w:val="000000"/>
          <w:highlight w:val="cyan"/>
        </w:rPr>
        <w:t xml:space="preserve">: </w:t>
      </w:r>
      <w:r w:rsidR="00B67888" w:rsidRPr="00090EBA">
        <w:rPr>
          <w:color w:val="000000"/>
          <w:highlight w:val="cyan"/>
        </w:rPr>
        <w:t>Please remember that, except for emergency or out-of-area urgent care, or out-of-area dialysis services</w:t>
      </w:r>
      <w:r w:rsidR="00B67888" w:rsidRPr="00090EBA">
        <w:rPr>
          <w:b/>
          <w:bCs/>
          <w:color w:val="000000"/>
          <w:highlight w:val="cyan"/>
        </w:rPr>
        <w:t xml:space="preserve">, </w:t>
      </w:r>
      <w:r w:rsidR="00B67888" w:rsidRPr="00090EBA">
        <w:rPr>
          <w:color w:val="000000"/>
          <w:highlight w:val="cyan"/>
        </w:rPr>
        <w:t>if you get health care services from a non</w:t>
      </w:r>
      <w:r w:rsidR="00B67888" w:rsidRPr="00090EBA">
        <w:rPr>
          <w:color w:val="000000"/>
          <w:highlight w:val="green"/>
        </w:rPr>
        <w:t>-&lt;ProductDesc&gt;</w:t>
      </w:r>
      <w:r w:rsidR="00B67888" w:rsidRPr="00090EBA">
        <w:rPr>
          <w:color w:val="000000"/>
          <w:highlight w:val="cyan"/>
        </w:rPr>
        <w:t xml:space="preserve"> doctor without prior authorization, you will have to pay for these services yourself.</w:t>
      </w:r>
      <w:r w:rsidRPr="00090EBA">
        <w:rPr>
          <w:color w:val="000000"/>
          <w:highlight w:val="cyan"/>
        </w:rPr>
        <w:t xml:space="preserve"> </w:t>
      </w:r>
      <w:r w:rsidRPr="00090EBA">
        <w:rPr>
          <w:b/>
          <w:color w:val="000000"/>
          <w:highlight w:val="cyan"/>
        </w:rPr>
        <w:t>END-IF]</w:t>
      </w:r>
    </w:p>
    <w:p w:rsidR="00B67888" w:rsidRPr="00EC3B77" w:rsidRDefault="00B67888" w:rsidP="00B67888">
      <w:pPr>
        <w:autoSpaceDE w:val="0"/>
        <w:autoSpaceDN w:val="0"/>
        <w:adjustRightInd w:val="0"/>
        <w:rPr>
          <w:color w:val="000000"/>
        </w:rPr>
      </w:pPr>
    </w:p>
    <w:p w:rsidR="00B67888" w:rsidRPr="0055578E" w:rsidRDefault="00090EBA" w:rsidP="00B67888">
      <w:pPr>
        <w:autoSpaceDE w:val="0"/>
        <w:autoSpaceDN w:val="0"/>
        <w:adjustRightInd w:val="0"/>
        <w:rPr>
          <w:b/>
          <w:bCs/>
          <w:color w:val="000000"/>
          <w:highlight w:val="cyan"/>
        </w:rPr>
      </w:pPr>
      <w:r w:rsidRPr="0055578E">
        <w:rPr>
          <w:b/>
          <w:bCs/>
          <w:color w:val="000000"/>
          <w:highlight w:val="cyan"/>
        </w:rPr>
        <w:t xml:space="preserve">[IF Premium &gt; 0.00: </w:t>
      </w:r>
      <w:r w:rsidR="00B67888" w:rsidRPr="0055578E">
        <w:rPr>
          <w:b/>
          <w:bCs/>
          <w:color w:val="000000"/>
          <w:highlight w:val="cyan"/>
        </w:rPr>
        <w:t>How do I pay my premium?</w:t>
      </w:r>
    </w:p>
    <w:p w:rsidR="00B67888" w:rsidRPr="0055578E" w:rsidRDefault="00B67888" w:rsidP="00B67888">
      <w:pPr>
        <w:pStyle w:val="Default"/>
        <w:rPr>
          <w:color w:val="auto"/>
          <w:highlight w:val="cyan"/>
        </w:rPr>
      </w:pPr>
      <w:r w:rsidRPr="0055578E">
        <w:rPr>
          <w:iCs/>
          <w:color w:val="auto"/>
          <w:highlight w:val="cyan"/>
        </w:rPr>
        <w:t xml:space="preserve">Your enrollment form included the options for paying your plan premium. If you did not choose one of these options when you enrolled, we will bill you directly. If you chose to have your monthly premium automatically deducted from your Social Security or Railroad Retirement Board check, we may have to send you a bill for your first month or two of enrollment if the deduction doesn’t start right away. Generally, you must stay with the option you choose for the rest of the year. If you have any questions about how to pay your plan premium, please contact us at </w:t>
      </w:r>
      <w:r w:rsidRPr="0055578E">
        <w:rPr>
          <w:iCs/>
          <w:color w:val="auto"/>
          <w:highlight w:val="green"/>
        </w:rPr>
        <w:t>&lt;</w:t>
      </w:r>
      <w:r w:rsidRPr="0055578E">
        <w:rPr>
          <w:color w:val="auto"/>
          <w:highlight w:val="green"/>
        </w:rPr>
        <w:t>CS800Phone&gt;</w:t>
      </w:r>
      <w:r w:rsidRPr="0055578E">
        <w:rPr>
          <w:iCs/>
          <w:color w:val="auto"/>
          <w:highlight w:val="cyan"/>
        </w:rPr>
        <w:t xml:space="preserve">. TTY users should call </w:t>
      </w:r>
      <w:r w:rsidRPr="0055578E">
        <w:rPr>
          <w:iCs/>
          <w:color w:val="auto"/>
          <w:highlight w:val="green"/>
        </w:rPr>
        <w:t>&lt;</w:t>
      </w:r>
      <w:r w:rsidRPr="0055578E">
        <w:rPr>
          <w:color w:val="auto"/>
          <w:highlight w:val="green"/>
        </w:rPr>
        <w:t>CSTDDPhone&gt;</w:t>
      </w:r>
      <w:r w:rsidRPr="0055578E">
        <w:rPr>
          <w:iCs/>
          <w:color w:val="auto"/>
          <w:highlight w:val="cyan"/>
        </w:rPr>
        <w:t xml:space="preserve">. </w:t>
      </w:r>
      <w:r w:rsidR="00310EDF">
        <w:rPr>
          <w:iCs/>
          <w:color w:val="auto"/>
          <w:highlight w:val="cyan"/>
        </w:rPr>
        <w:t>“</w:t>
      </w:r>
      <w:r w:rsidRPr="0055578E">
        <w:rPr>
          <w:iCs/>
          <w:color w:val="auto"/>
          <w:highlight w:val="cyan"/>
        </w:rPr>
        <w:t xml:space="preserve">Members who fail to pay the monthly plan premium may be disenrolled from </w:t>
      </w:r>
      <w:r w:rsidRPr="0055578E">
        <w:rPr>
          <w:iCs/>
          <w:color w:val="auto"/>
          <w:highlight w:val="green"/>
        </w:rPr>
        <w:t>&lt;ProductDesc&gt;</w:t>
      </w:r>
      <w:r w:rsidR="00310EDF" w:rsidRPr="00310EDF">
        <w:rPr>
          <w:iCs/>
          <w:color w:val="auto"/>
          <w:highlight w:val="cyan"/>
        </w:rPr>
        <w:t>”</w:t>
      </w:r>
      <w:r w:rsidRPr="0055578E">
        <w:rPr>
          <w:iCs/>
          <w:color w:val="auto"/>
          <w:highlight w:val="cyan"/>
        </w:rPr>
        <w:t>.</w:t>
      </w:r>
    </w:p>
    <w:p w:rsidR="00B67888" w:rsidRPr="0055578E" w:rsidRDefault="00B67888" w:rsidP="00B67888">
      <w:pPr>
        <w:autoSpaceDE w:val="0"/>
        <w:autoSpaceDN w:val="0"/>
        <w:adjustRightInd w:val="0"/>
        <w:rPr>
          <w:color w:val="000000"/>
          <w:highlight w:val="cyan"/>
        </w:rPr>
      </w:pPr>
    </w:p>
    <w:p w:rsidR="00B67888" w:rsidRDefault="0055578E" w:rsidP="00B67888">
      <w:pPr>
        <w:autoSpaceDE w:val="0"/>
        <w:autoSpaceDN w:val="0"/>
        <w:adjustRightInd w:val="0"/>
        <w:rPr>
          <w:b/>
          <w:color w:val="000000"/>
        </w:rPr>
      </w:pPr>
      <w:r w:rsidRPr="0055578E">
        <w:rPr>
          <w:b/>
          <w:color w:val="000000"/>
          <w:highlight w:val="cyan"/>
        </w:rPr>
        <w:t>[IF MAPD:</w:t>
      </w:r>
      <w:r w:rsidRPr="0055578E">
        <w:rPr>
          <w:color w:val="000000"/>
          <w:highlight w:val="cyan"/>
        </w:rPr>
        <w:t xml:space="preserve"> </w:t>
      </w:r>
      <w:r w:rsidR="00B67888" w:rsidRPr="0055578E">
        <w:rPr>
          <w:color w:val="000000"/>
          <w:highlight w:val="cyan"/>
        </w:rPr>
        <w:t xml:space="preserve">If you qualify for </w:t>
      </w:r>
      <w:r w:rsidR="000F3C1E">
        <w:rPr>
          <w:color w:val="FF0000"/>
          <w:highlight w:val="cyan"/>
        </w:rPr>
        <w:t>E</w:t>
      </w:r>
      <w:r w:rsidR="00B67888" w:rsidRPr="000F3C1E">
        <w:rPr>
          <w:color w:val="FF0000"/>
          <w:highlight w:val="cyan"/>
        </w:rPr>
        <w:t xml:space="preserve">xtra </w:t>
      </w:r>
      <w:r w:rsidR="000F3C1E">
        <w:rPr>
          <w:color w:val="FF0000"/>
          <w:highlight w:val="cyan"/>
        </w:rPr>
        <w:t>H</w:t>
      </w:r>
      <w:r w:rsidR="00B67888" w:rsidRPr="000F3C1E">
        <w:rPr>
          <w:color w:val="FF0000"/>
          <w:highlight w:val="cyan"/>
        </w:rPr>
        <w:t>elp</w:t>
      </w:r>
      <w:r w:rsidR="00B67888" w:rsidRPr="0055578E">
        <w:rPr>
          <w:color w:val="000000"/>
          <w:highlight w:val="cyan"/>
        </w:rPr>
        <w:t xml:space="preserve"> with your Medicare prescription drug coverage costs, Medicare may cover all or some portion of your plan premium.</w:t>
      </w:r>
      <w:r w:rsidR="00C416C2">
        <w:rPr>
          <w:b/>
          <w:color w:val="000000"/>
          <w:highlight w:val="cyan"/>
        </w:rPr>
        <w:t xml:space="preserve"> </w:t>
      </w:r>
      <w:r w:rsidRPr="0055578E">
        <w:rPr>
          <w:b/>
          <w:color w:val="000000"/>
          <w:highlight w:val="cyan"/>
        </w:rPr>
        <w:t xml:space="preserve"> </w:t>
      </w:r>
    </w:p>
    <w:p w:rsidR="0055578E" w:rsidRDefault="0055578E" w:rsidP="00B67888">
      <w:pPr>
        <w:autoSpaceDE w:val="0"/>
        <w:autoSpaceDN w:val="0"/>
        <w:adjustRightInd w:val="0"/>
        <w:rPr>
          <w:b/>
          <w:bCs/>
          <w:color w:val="000000"/>
        </w:rPr>
      </w:pPr>
    </w:p>
    <w:p w:rsidR="00B67888" w:rsidRPr="0055578E" w:rsidRDefault="00B67888" w:rsidP="00B67888">
      <w:pPr>
        <w:autoSpaceDE w:val="0"/>
        <w:autoSpaceDN w:val="0"/>
        <w:adjustRightInd w:val="0"/>
        <w:rPr>
          <w:b/>
          <w:bCs/>
          <w:color w:val="000000"/>
          <w:highlight w:val="cyan"/>
        </w:rPr>
      </w:pPr>
      <w:r w:rsidRPr="0055578E">
        <w:rPr>
          <w:b/>
          <w:bCs/>
          <w:color w:val="000000"/>
          <w:highlight w:val="cyan"/>
        </w:rPr>
        <w:t>Can I get help paying my premiums and other out-of-pocket costs?</w:t>
      </w:r>
    </w:p>
    <w:p w:rsidR="00B67888" w:rsidRPr="0055578E" w:rsidRDefault="00B67888" w:rsidP="00B67888">
      <w:pPr>
        <w:autoSpaceDE w:val="0"/>
        <w:autoSpaceDN w:val="0"/>
        <w:adjustRightInd w:val="0"/>
        <w:rPr>
          <w:color w:val="000000"/>
          <w:highlight w:val="cyan"/>
        </w:rPr>
      </w:pPr>
      <w:r w:rsidRPr="0055578E">
        <w:rPr>
          <w:color w:val="000000"/>
          <w:highlight w:val="cyan"/>
        </w:rPr>
        <w:t xml:space="preserve">People with limited incomes may qualify for </w:t>
      </w:r>
      <w:r w:rsidR="00FE7356">
        <w:rPr>
          <w:color w:val="FF0000"/>
          <w:highlight w:val="cyan"/>
        </w:rPr>
        <w:t>E</w:t>
      </w:r>
      <w:r w:rsidRPr="00FE7356">
        <w:rPr>
          <w:color w:val="FF0000"/>
          <w:highlight w:val="cyan"/>
        </w:rPr>
        <w:t xml:space="preserve">xtra </w:t>
      </w:r>
      <w:r w:rsidR="00FE7356">
        <w:rPr>
          <w:color w:val="FF0000"/>
          <w:highlight w:val="cyan"/>
        </w:rPr>
        <w:t>H</w:t>
      </w:r>
      <w:r w:rsidRPr="00FE7356">
        <w:rPr>
          <w:color w:val="FF0000"/>
          <w:highlight w:val="cyan"/>
        </w:rPr>
        <w:t>elp</w:t>
      </w:r>
      <w:r w:rsidRPr="0055578E">
        <w:rPr>
          <w:color w:val="000000"/>
          <w:highlight w:val="cyan"/>
        </w:rPr>
        <w:t xml:space="preserve"> to pay for their prescription drug costs. If eligible, Medicare could pay for 75% or more of your drug costs including monthly prescription drug premiums, annual deductibles, and co-insurance. Additionally, those who qualify will not be subject to the coverage gap or a late enrollment penalty. Many people are eligible for these savings and don</w:t>
      </w:r>
      <w:r w:rsidRPr="0055578E">
        <w:rPr>
          <w:rFonts w:eastAsia="MS Mincho"/>
          <w:color w:val="000000"/>
          <w:highlight w:val="cyan"/>
        </w:rPr>
        <w:t>’</w:t>
      </w:r>
      <w:r w:rsidRPr="0055578E">
        <w:rPr>
          <w:color w:val="000000"/>
          <w:highlight w:val="cyan"/>
        </w:rPr>
        <w:t xml:space="preserve">t even know it. For more information about this </w:t>
      </w:r>
      <w:r w:rsidR="00FE7356">
        <w:rPr>
          <w:color w:val="FF0000"/>
          <w:highlight w:val="cyan"/>
        </w:rPr>
        <w:t>Extra H</w:t>
      </w:r>
      <w:r w:rsidRPr="00FE7356">
        <w:rPr>
          <w:color w:val="FF0000"/>
          <w:highlight w:val="cyan"/>
        </w:rPr>
        <w:t>elp</w:t>
      </w:r>
      <w:r w:rsidRPr="0055578E">
        <w:rPr>
          <w:color w:val="000000"/>
          <w:highlight w:val="cyan"/>
        </w:rPr>
        <w:t>, contact your local Social Security office or call 1-800-MEDICARE (1-800-633-4227), 24 hours per day, 7 days per week. TTY/TDD users should call 1-877-486-2048.</w:t>
      </w:r>
    </w:p>
    <w:p w:rsidR="00B67888" w:rsidRPr="0055578E" w:rsidRDefault="00B67888" w:rsidP="00B67888">
      <w:pPr>
        <w:autoSpaceDE w:val="0"/>
        <w:autoSpaceDN w:val="0"/>
        <w:adjustRightInd w:val="0"/>
        <w:rPr>
          <w:color w:val="000000"/>
          <w:highlight w:val="cyan"/>
        </w:rPr>
      </w:pPr>
    </w:p>
    <w:p w:rsidR="00B67888" w:rsidRPr="0055578E" w:rsidRDefault="00B67888" w:rsidP="00B67888">
      <w:pPr>
        <w:autoSpaceDE w:val="0"/>
        <w:autoSpaceDN w:val="0"/>
        <w:adjustRightInd w:val="0"/>
        <w:rPr>
          <w:b/>
          <w:color w:val="000000"/>
        </w:rPr>
      </w:pPr>
      <w:r w:rsidRPr="0055578E">
        <w:rPr>
          <w:color w:val="000000"/>
          <w:highlight w:val="cyan"/>
        </w:rPr>
        <w:t xml:space="preserve">If you qualify for </w:t>
      </w:r>
      <w:r w:rsidR="009A702C">
        <w:rPr>
          <w:highlight w:val="cyan"/>
        </w:rPr>
        <w:t>extra help</w:t>
      </w:r>
      <w:bookmarkStart w:id="0" w:name="_GoBack"/>
      <w:bookmarkEnd w:id="0"/>
      <w:r w:rsidRPr="0055578E">
        <w:rPr>
          <w:color w:val="000000"/>
          <w:highlight w:val="cyan"/>
        </w:rPr>
        <w:t xml:space="preserve"> with your prescription drug costs, you may enroll in, or disenroll from, a plan at any time. If you lose this extra help during the year, your opportunity to make a change continues for two months after you are notified that you no longer qualify for extra help.</w:t>
      </w:r>
      <w:r w:rsidR="0055578E" w:rsidRPr="0055578E">
        <w:rPr>
          <w:color w:val="000000"/>
          <w:highlight w:val="cyan"/>
        </w:rPr>
        <w:t xml:space="preserve"> </w:t>
      </w:r>
      <w:r w:rsidR="0055578E" w:rsidRPr="0055578E">
        <w:rPr>
          <w:b/>
          <w:color w:val="000000"/>
          <w:highlight w:val="cyan"/>
        </w:rPr>
        <w:t>END-IF] END-IF]</w:t>
      </w:r>
    </w:p>
    <w:p w:rsidR="00B67888" w:rsidRPr="00EC3B77" w:rsidRDefault="00B67888" w:rsidP="00B67888">
      <w:pPr>
        <w:autoSpaceDE w:val="0"/>
        <w:autoSpaceDN w:val="0"/>
        <w:adjustRightInd w:val="0"/>
        <w:rPr>
          <w:b/>
          <w:bCs/>
          <w:color w:val="000000"/>
        </w:rPr>
      </w:pPr>
    </w:p>
    <w:p w:rsidR="00B67888" w:rsidRPr="00AD03D3" w:rsidRDefault="00B67888" w:rsidP="00B67888">
      <w:pPr>
        <w:autoSpaceDE w:val="0"/>
        <w:autoSpaceDN w:val="0"/>
        <w:adjustRightInd w:val="0"/>
        <w:rPr>
          <w:b/>
          <w:bCs/>
          <w:color w:val="000000"/>
        </w:rPr>
      </w:pPr>
      <w:r w:rsidRPr="00AD03D3">
        <w:rPr>
          <w:b/>
          <w:bCs/>
          <w:color w:val="000000"/>
        </w:rPr>
        <w:t>When can I make changes to my coverage?</w:t>
      </w:r>
    </w:p>
    <w:p w:rsidR="00EC6E46" w:rsidRPr="00FE7356" w:rsidRDefault="00EC6E46" w:rsidP="00EC6E46">
      <w:pPr>
        <w:autoSpaceDE w:val="0"/>
        <w:autoSpaceDN w:val="0"/>
        <w:adjustRightInd w:val="0"/>
        <w:rPr>
          <w:iCs/>
          <w:sz w:val="23"/>
          <w:szCs w:val="23"/>
        </w:rPr>
      </w:pPr>
      <w:r w:rsidRPr="00FE7356">
        <w:rPr>
          <w:iCs/>
          <w:sz w:val="23"/>
          <w:szCs w:val="23"/>
        </w:rPr>
        <w:t xml:space="preserve">You can change health plans only at certain times during the year. From October 15 - December 7, you can join, switch or drop a Medicare health or drug plan for the following year. In addition, from January 1 - March 31, anyone enrolled in a Medicare Advantage Plan (except an MSA plan) can switch plans or return to Original Medicare (and join a stand-alone Medicare Prescription Drug Plan). Generally, you can’t make changes at other times except in certain situations, such as if you move out of your plan’s service area, want to join a plan in your area with a 5-star rating, or qualify for (or lose) Extra Help paying for prescription drug costs. </w:t>
      </w:r>
    </w:p>
    <w:p w:rsidR="00EC6E46" w:rsidRPr="00FE7356" w:rsidRDefault="00EC6E46" w:rsidP="00EC6E46">
      <w:pPr>
        <w:autoSpaceDE w:val="0"/>
        <w:autoSpaceDN w:val="0"/>
        <w:adjustRightInd w:val="0"/>
        <w:rPr>
          <w:sz w:val="23"/>
          <w:szCs w:val="23"/>
        </w:rPr>
      </w:pPr>
    </w:p>
    <w:p w:rsidR="00EC6E46" w:rsidRPr="00FE7356" w:rsidRDefault="00EC6E46" w:rsidP="00EC6E46">
      <w:pPr>
        <w:pStyle w:val="Default"/>
        <w:rPr>
          <w:strike/>
          <w:color w:val="auto"/>
        </w:rPr>
      </w:pPr>
      <w:r w:rsidRPr="00FE7356">
        <w:rPr>
          <w:iCs/>
          <w:color w:val="auto"/>
          <w:sz w:val="23"/>
          <w:szCs w:val="23"/>
        </w:rPr>
        <w:t>If you join our plan when you first enroll in Medicare, you can switch to another plan or get Original Medicare (and join a stand-alone Medicare Prescription Drug Plan). If you’re not happy with your choice in our plan, you can make a change during the first 3 months you have Medicare.</w:t>
      </w:r>
    </w:p>
    <w:p w:rsidR="00B67888" w:rsidRPr="00941521" w:rsidRDefault="00B67888" w:rsidP="00B67888">
      <w:pPr>
        <w:autoSpaceDE w:val="0"/>
        <w:autoSpaceDN w:val="0"/>
        <w:adjustRightInd w:val="0"/>
      </w:pPr>
    </w:p>
    <w:p w:rsidR="00B67888" w:rsidRPr="00977A4E" w:rsidRDefault="00B67888" w:rsidP="0002143E">
      <w:r w:rsidRPr="00EC3B77">
        <w:rPr>
          <w:color w:val="000000"/>
        </w:rPr>
        <w:t xml:space="preserve">If you have any questions, please call </w:t>
      </w:r>
      <w:r w:rsidRPr="00B67888">
        <w:rPr>
          <w:color w:val="000000"/>
          <w:highlight w:val="green"/>
        </w:rPr>
        <w:t>&lt;ProductDesc&gt;</w:t>
      </w:r>
      <w:r w:rsidRPr="00EC3B77">
        <w:rPr>
          <w:color w:val="000000"/>
        </w:rPr>
        <w:t xml:space="preserve"> at </w:t>
      </w:r>
      <w:r w:rsidRPr="00B67888">
        <w:rPr>
          <w:color w:val="000000"/>
          <w:highlight w:val="green"/>
        </w:rPr>
        <w:t>&lt;CS800Phone&gt;</w:t>
      </w:r>
      <w:r w:rsidRPr="00EC3B77">
        <w:rPr>
          <w:color w:val="000000"/>
        </w:rPr>
        <w:t>. TTY users should call</w:t>
      </w:r>
      <w:r>
        <w:rPr>
          <w:color w:val="000000"/>
        </w:rPr>
        <w:t xml:space="preserve"> </w:t>
      </w:r>
      <w:r w:rsidRPr="00B67888">
        <w:rPr>
          <w:color w:val="000000"/>
          <w:highlight w:val="green"/>
        </w:rPr>
        <w:t>&lt;</w:t>
      </w:r>
      <w:r w:rsidRPr="00B67888">
        <w:rPr>
          <w:iCs/>
          <w:color w:val="000000"/>
          <w:highlight w:val="green"/>
        </w:rPr>
        <w:t>CSTDDPhone&gt;</w:t>
      </w:r>
      <w:r w:rsidRPr="00EC3B77">
        <w:rPr>
          <w:color w:val="000000"/>
        </w:rPr>
        <w:t xml:space="preserve">. We are open </w:t>
      </w:r>
      <w:r w:rsidR="0002143E" w:rsidRPr="00977A4E">
        <w:rPr>
          <w:highlight w:val="green"/>
        </w:rPr>
        <w:t>&lt;CSHOURS&gt;</w:t>
      </w:r>
      <w:r w:rsidRPr="00977A4E">
        <w:t>.</w:t>
      </w:r>
    </w:p>
    <w:p w:rsidR="00B67888" w:rsidRPr="00EC3B77" w:rsidRDefault="00B67888" w:rsidP="00B67888">
      <w:pPr>
        <w:autoSpaceDE w:val="0"/>
        <w:autoSpaceDN w:val="0"/>
        <w:adjustRightInd w:val="0"/>
        <w:rPr>
          <w:color w:val="000000"/>
        </w:rPr>
      </w:pPr>
    </w:p>
    <w:p w:rsidR="00B67888" w:rsidRPr="00EC3B77" w:rsidRDefault="00B67888" w:rsidP="00B67888">
      <w:pPr>
        <w:autoSpaceDE w:val="0"/>
        <w:autoSpaceDN w:val="0"/>
        <w:adjustRightInd w:val="0"/>
        <w:rPr>
          <w:i/>
          <w:iCs/>
          <w:color w:val="000000"/>
        </w:rPr>
      </w:pPr>
      <w:r w:rsidRPr="00EC3B77">
        <w:rPr>
          <w:color w:val="000000"/>
        </w:rPr>
        <w:t>Thank yo</w:t>
      </w:r>
      <w:r>
        <w:rPr>
          <w:color w:val="000000"/>
        </w:rPr>
        <w:t>u.</w:t>
      </w:r>
    </w:p>
    <w:p w:rsidR="00804D7E" w:rsidRDefault="00804D7E" w:rsidP="00B0744E"/>
    <w:p w:rsidR="0002143E" w:rsidRPr="00977A4E" w:rsidRDefault="0002143E" w:rsidP="0002143E">
      <w:pPr>
        <w:widowControl w:val="0"/>
        <w:autoSpaceDE w:val="0"/>
        <w:autoSpaceDN w:val="0"/>
        <w:adjustRightInd w:val="0"/>
        <w:jc w:val="center"/>
      </w:pPr>
      <w:r w:rsidRPr="00977A4E">
        <w:rPr>
          <w:highlight w:val="green"/>
        </w:rPr>
        <w:t>&lt;FCS&gt;</w:t>
      </w:r>
    </w:p>
    <w:p w:rsidR="0002143E" w:rsidRPr="00977A4E" w:rsidRDefault="0002143E" w:rsidP="0002143E">
      <w:pPr>
        <w:widowControl w:val="0"/>
        <w:autoSpaceDE w:val="0"/>
        <w:autoSpaceDN w:val="0"/>
        <w:adjustRightInd w:val="0"/>
      </w:pPr>
    </w:p>
    <w:p w:rsidR="0002143E" w:rsidRDefault="0002143E" w:rsidP="0002143E">
      <w:pPr>
        <w:widowControl w:val="0"/>
        <w:tabs>
          <w:tab w:val="center" w:pos="4320"/>
          <w:tab w:val="right" w:pos="8640"/>
        </w:tabs>
        <w:autoSpaceDE w:val="0"/>
        <w:autoSpaceDN w:val="0"/>
        <w:adjustRightInd w:val="0"/>
        <w:rPr>
          <w:szCs w:val="12"/>
        </w:rPr>
      </w:pPr>
      <w:r w:rsidRPr="00977A4E">
        <w:rPr>
          <w:szCs w:val="12"/>
          <w:highlight w:val="green"/>
        </w:rPr>
        <w:t>&lt;TAGLINE&gt;</w:t>
      </w:r>
    </w:p>
    <w:p w:rsidR="00977A4E" w:rsidRDefault="00977A4E" w:rsidP="0002143E">
      <w:pPr>
        <w:widowControl w:val="0"/>
        <w:tabs>
          <w:tab w:val="center" w:pos="4320"/>
          <w:tab w:val="right" w:pos="8640"/>
        </w:tabs>
        <w:autoSpaceDE w:val="0"/>
        <w:autoSpaceDN w:val="0"/>
        <w:adjustRightInd w:val="0"/>
        <w:rPr>
          <w:szCs w:val="12"/>
        </w:rPr>
      </w:pPr>
    </w:p>
    <w:p w:rsidR="00977A4E" w:rsidRPr="00EC6E46" w:rsidRDefault="00977A4E" w:rsidP="0002143E">
      <w:pPr>
        <w:widowControl w:val="0"/>
        <w:tabs>
          <w:tab w:val="center" w:pos="4320"/>
          <w:tab w:val="right" w:pos="8640"/>
        </w:tabs>
        <w:autoSpaceDE w:val="0"/>
        <w:autoSpaceDN w:val="0"/>
        <w:adjustRightInd w:val="0"/>
        <w:rPr>
          <w:szCs w:val="12"/>
          <w:highlight w:val="green"/>
        </w:rPr>
      </w:pPr>
      <w:r w:rsidRPr="00EC6E46">
        <w:rPr>
          <w:szCs w:val="12"/>
          <w:highlight w:val="green"/>
        </w:rPr>
        <w:t>&lt;VARIABLE17&gt;</w:t>
      </w:r>
    </w:p>
    <w:p w:rsidR="00977A4E" w:rsidRPr="00EC6E46" w:rsidRDefault="00977A4E" w:rsidP="0002143E">
      <w:pPr>
        <w:widowControl w:val="0"/>
        <w:tabs>
          <w:tab w:val="center" w:pos="4320"/>
          <w:tab w:val="right" w:pos="8640"/>
        </w:tabs>
        <w:autoSpaceDE w:val="0"/>
        <w:autoSpaceDN w:val="0"/>
        <w:adjustRightInd w:val="0"/>
        <w:rPr>
          <w:strike/>
          <w:color w:val="FF0000"/>
          <w:szCs w:val="12"/>
        </w:rPr>
      </w:pPr>
    </w:p>
    <w:p w:rsidR="00977A4E" w:rsidRPr="00977A4E" w:rsidRDefault="00977A4E" w:rsidP="0002143E">
      <w:pPr>
        <w:widowControl w:val="0"/>
        <w:tabs>
          <w:tab w:val="center" w:pos="4320"/>
          <w:tab w:val="right" w:pos="8640"/>
        </w:tabs>
        <w:autoSpaceDE w:val="0"/>
        <w:autoSpaceDN w:val="0"/>
        <w:adjustRightInd w:val="0"/>
      </w:pPr>
    </w:p>
    <w:p w:rsidR="00977A4E" w:rsidRDefault="00977A4E">
      <w:r>
        <w:br w:type="page"/>
      </w:r>
    </w:p>
    <w:p w:rsidR="0058472F" w:rsidRPr="000F3C1E" w:rsidRDefault="00977A4E" w:rsidP="00977A4E">
      <w:pPr>
        <w:pStyle w:val="Footer"/>
        <w:widowControl w:val="0"/>
        <w:autoSpaceDE w:val="0"/>
        <w:autoSpaceDN w:val="0"/>
        <w:adjustRightInd w:val="0"/>
      </w:pPr>
      <w:r w:rsidRPr="000F3C1E">
        <w:rPr>
          <w:highlight w:val="yellow"/>
        </w:rPr>
        <w:t>&lt;1557 Disclaimer&gt;</w:t>
      </w:r>
    </w:p>
    <w:p w:rsidR="00977A4E" w:rsidRDefault="00977A4E" w:rsidP="00977A4E">
      <w:pPr>
        <w:pStyle w:val="Footer"/>
        <w:widowControl w:val="0"/>
        <w:autoSpaceDE w:val="0"/>
        <w:autoSpaceDN w:val="0"/>
        <w:adjustRightInd w:val="0"/>
      </w:pPr>
    </w:p>
    <w:sectPr w:rsidR="00977A4E" w:rsidSect="00D76C07">
      <w:footerReference w:type="default" r:id="rId7"/>
      <w:pgSz w:w="12240" w:h="15840" w:code="1"/>
      <w:pgMar w:top="720" w:right="1440" w:bottom="749" w:left="1440" w:header="720"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EBA" w:rsidRDefault="00090EBA">
      <w:r>
        <w:separator/>
      </w:r>
    </w:p>
  </w:endnote>
  <w:endnote w:type="continuationSeparator" w:id="0">
    <w:p w:rsidR="00090EBA" w:rsidRDefault="00090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EBA" w:rsidRPr="00B0744E" w:rsidRDefault="007543E7" w:rsidP="0058472F">
    <w:pPr>
      <w:pStyle w:val="Footer"/>
      <w:tabs>
        <w:tab w:val="left" w:pos="240"/>
        <w:tab w:val="right" w:pos="10026"/>
      </w:tabs>
      <w:jc w:val="center"/>
      <w:rPr>
        <w:szCs w:val="16"/>
      </w:rPr>
    </w:pPr>
    <w:r w:rsidRPr="00B0744E">
      <w:rPr>
        <w:szCs w:val="16"/>
      </w:rPr>
      <w:fldChar w:fldCharType="begin"/>
    </w:r>
    <w:r w:rsidR="00090EBA" w:rsidRPr="00B0744E">
      <w:rPr>
        <w:szCs w:val="16"/>
      </w:rPr>
      <w:instrText xml:space="preserve"> PAGE   \* MERGEFORMAT </w:instrText>
    </w:r>
    <w:r w:rsidRPr="00B0744E">
      <w:rPr>
        <w:szCs w:val="16"/>
      </w:rPr>
      <w:fldChar w:fldCharType="separate"/>
    </w:r>
    <w:r w:rsidR="009A702C">
      <w:rPr>
        <w:noProof/>
        <w:szCs w:val="16"/>
      </w:rPr>
      <w:t>2</w:t>
    </w:r>
    <w:r w:rsidRPr="00B0744E">
      <w:rPr>
        <w:szCs w:val="16"/>
      </w:rPr>
      <w:fldChar w:fldCharType="end"/>
    </w:r>
  </w:p>
  <w:p w:rsidR="00090EBA" w:rsidRPr="00977A4E" w:rsidRDefault="0002143E" w:rsidP="0002143E">
    <w:r w:rsidRPr="00977A4E">
      <w:rPr>
        <w:highlight w:val="green"/>
      </w:rPr>
      <w:t>&lt;MATERIALID1&gt;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EBA" w:rsidRDefault="00090EBA">
      <w:r>
        <w:separator/>
      </w:r>
    </w:p>
  </w:footnote>
  <w:footnote w:type="continuationSeparator" w:id="0">
    <w:p w:rsidR="00090EBA" w:rsidRDefault="00090E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73B75"/>
    <w:multiLevelType w:val="hybridMultilevel"/>
    <w:tmpl w:val="36363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02616C6"/>
    <w:multiLevelType w:val="hybridMultilevel"/>
    <w:tmpl w:val="CF882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3E0215E0"/>
    <w:multiLevelType w:val="hybridMultilevel"/>
    <w:tmpl w:val="8B0E36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9F576D6"/>
    <w:multiLevelType w:val="hybridMultilevel"/>
    <w:tmpl w:val="8B0E36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2443A"/>
    <w:rsid w:val="00014C7F"/>
    <w:rsid w:val="0002143E"/>
    <w:rsid w:val="0002456D"/>
    <w:rsid w:val="00036E45"/>
    <w:rsid w:val="00044660"/>
    <w:rsid w:val="00046A67"/>
    <w:rsid w:val="00047508"/>
    <w:rsid w:val="00047812"/>
    <w:rsid w:val="0005147B"/>
    <w:rsid w:val="000552A1"/>
    <w:rsid w:val="00062456"/>
    <w:rsid w:val="00090EBA"/>
    <w:rsid w:val="000A00B0"/>
    <w:rsid w:val="000B153F"/>
    <w:rsid w:val="000C6457"/>
    <w:rsid w:val="000C75FD"/>
    <w:rsid w:val="000D2E47"/>
    <w:rsid w:val="000D3EEC"/>
    <w:rsid w:val="000E1AE8"/>
    <w:rsid w:val="000E39D0"/>
    <w:rsid w:val="000E6BEB"/>
    <w:rsid w:val="000F0090"/>
    <w:rsid w:val="000F3C1E"/>
    <w:rsid w:val="001146BB"/>
    <w:rsid w:val="001174F5"/>
    <w:rsid w:val="00136392"/>
    <w:rsid w:val="00142F56"/>
    <w:rsid w:val="0015639C"/>
    <w:rsid w:val="0016309A"/>
    <w:rsid w:val="00165551"/>
    <w:rsid w:val="00165A1E"/>
    <w:rsid w:val="0017018F"/>
    <w:rsid w:val="00177FF3"/>
    <w:rsid w:val="00192470"/>
    <w:rsid w:val="001A390A"/>
    <w:rsid w:val="001A3EFB"/>
    <w:rsid w:val="001B2B5A"/>
    <w:rsid w:val="001B601D"/>
    <w:rsid w:val="001C4C9F"/>
    <w:rsid w:val="001D22BA"/>
    <w:rsid w:val="001D2850"/>
    <w:rsid w:val="001D4A09"/>
    <w:rsid w:val="001D55C4"/>
    <w:rsid w:val="001E1E92"/>
    <w:rsid w:val="001E1F27"/>
    <w:rsid w:val="001E5389"/>
    <w:rsid w:val="001F1F8E"/>
    <w:rsid w:val="001F585B"/>
    <w:rsid w:val="001F5D3E"/>
    <w:rsid w:val="00203A3D"/>
    <w:rsid w:val="002113D9"/>
    <w:rsid w:val="002127E7"/>
    <w:rsid w:val="00214267"/>
    <w:rsid w:val="002260CB"/>
    <w:rsid w:val="0023607A"/>
    <w:rsid w:val="00237BB1"/>
    <w:rsid w:val="00242435"/>
    <w:rsid w:val="002641A7"/>
    <w:rsid w:val="00266AC9"/>
    <w:rsid w:val="002737B8"/>
    <w:rsid w:val="002761C3"/>
    <w:rsid w:val="002855DD"/>
    <w:rsid w:val="002921E1"/>
    <w:rsid w:val="002A643D"/>
    <w:rsid w:val="002B0E30"/>
    <w:rsid w:val="002B6800"/>
    <w:rsid w:val="002C3E83"/>
    <w:rsid w:val="002D128B"/>
    <w:rsid w:val="002D3C9E"/>
    <w:rsid w:val="002D4B97"/>
    <w:rsid w:val="002D5C4E"/>
    <w:rsid w:val="002E5657"/>
    <w:rsid w:val="002F0A43"/>
    <w:rsid w:val="002F588E"/>
    <w:rsid w:val="002F68B5"/>
    <w:rsid w:val="00310EA6"/>
    <w:rsid w:val="00310EDF"/>
    <w:rsid w:val="00312F4C"/>
    <w:rsid w:val="00313082"/>
    <w:rsid w:val="00314C75"/>
    <w:rsid w:val="00330F94"/>
    <w:rsid w:val="00341D90"/>
    <w:rsid w:val="00351D07"/>
    <w:rsid w:val="00356DA1"/>
    <w:rsid w:val="0036414C"/>
    <w:rsid w:val="00372D95"/>
    <w:rsid w:val="00374F6F"/>
    <w:rsid w:val="003A2884"/>
    <w:rsid w:val="003A45B9"/>
    <w:rsid w:val="003A539D"/>
    <w:rsid w:val="003A54A8"/>
    <w:rsid w:val="003B6034"/>
    <w:rsid w:val="003B6E9D"/>
    <w:rsid w:val="003B7432"/>
    <w:rsid w:val="003C1152"/>
    <w:rsid w:val="003D0299"/>
    <w:rsid w:val="003E3867"/>
    <w:rsid w:val="00406F73"/>
    <w:rsid w:val="00410C7B"/>
    <w:rsid w:val="0041333A"/>
    <w:rsid w:val="004145AB"/>
    <w:rsid w:val="004275F0"/>
    <w:rsid w:val="00440A88"/>
    <w:rsid w:val="00446185"/>
    <w:rsid w:val="00452490"/>
    <w:rsid w:val="00457DF8"/>
    <w:rsid w:val="00461ACD"/>
    <w:rsid w:val="00465CE7"/>
    <w:rsid w:val="00467A2E"/>
    <w:rsid w:val="00476956"/>
    <w:rsid w:val="00481521"/>
    <w:rsid w:val="00484F2B"/>
    <w:rsid w:val="00487DC9"/>
    <w:rsid w:val="00490E8E"/>
    <w:rsid w:val="004A0FB3"/>
    <w:rsid w:val="004A110B"/>
    <w:rsid w:val="004B6679"/>
    <w:rsid w:val="004C34E6"/>
    <w:rsid w:val="004D10B7"/>
    <w:rsid w:val="004E1B4D"/>
    <w:rsid w:val="00505960"/>
    <w:rsid w:val="00511888"/>
    <w:rsid w:val="00525677"/>
    <w:rsid w:val="005500BF"/>
    <w:rsid w:val="00553DF9"/>
    <w:rsid w:val="0055578E"/>
    <w:rsid w:val="005614BE"/>
    <w:rsid w:val="00582808"/>
    <w:rsid w:val="0058472F"/>
    <w:rsid w:val="005922E6"/>
    <w:rsid w:val="00593078"/>
    <w:rsid w:val="00597D32"/>
    <w:rsid w:val="005B0F41"/>
    <w:rsid w:val="005D6F22"/>
    <w:rsid w:val="005E29D8"/>
    <w:rsid w:val="005E4361"/>
    <w:rsid w:val="005F5199"/>
    <w:rsid w:val="005F6B59"/>
    <w:rsid w:val="00601843"/>
    <w:rsid w:val="00623952"/>
    <w:rsid w:val="00623CE1"/>
    <w:rsid w:val="0062443A"/>
    <w:rsid w:val="00630CF1"/>
    <w:rsid w:val="00631E90"/>
    <w:rsid w:val="00633ED8"/>
    <w:rsid w:val="00636B9D"/>
    <w:rsid w:val="00650687"/>
    <w:rsid w:val="00650B88"/>
    <w:rsid w:val="00661910"/>
    <w:rsid w:val="0066397C"/>
    <w:rsid w:val="00676B0E"/>
    <w:rsid w:val="00681E4A"/>
    <w:rsid w:val="006856CB"/>
    <w:rsid w:val="00691D18"/>
    <w:rsid w:val="006A1F7D"/>
    <w:rsid w:val="006D02EC"/>
    <w:rsid w:val="006D3F4B"/>
    <w:rsid w:val="006D4E0C"/>
    <w:rsid w:val="006E23E1"/>
    <w:rsid w:val="006E5FF7"/>
    <w:rsid w:val="006E7FA4"/>
    <w:rsid w:val="006F19F1"/>
    <w:rsid w:val="006F4D49"/>
    <w:rsid w:val="006F691A"/>
    <w:rsid w:val="00704422"/>
    <w:rsid w:val="00704945"/>
    <w:rsid w:val="007073D8"/>
    <w:rsid w:val="00707C7E"/>
    <w:rsid w:val="00711675"/>
    <w:rsid w:val="00721EF0"/>
    <w:rsid w:val="00722C24"/>
    <w:rsid w:val="00727449"/>
    <w:rsid w:val="00733E04"/>
    <w:rsid w:val="0073504E"/>
    <w:rsid w:val="007403DD"/>
    <w:rsid w:val="007533E2"/>
    <w:rsid w:val="007543E7"/>
    <w:rsid w:val="00762FA0"/>
    <w:rsid w:val="0077159C"/>
    <w:rsid w:val="0077493E"/>
    <w:rsid w:val="00775943"/>
    <w:rsid w:val="00783991"/>
    <w:rsid w:val="007844C9"/>
    <w:rsid w:val="007855EE"/>
    <w:rsid w:val="00793272"/>
    <w:rsid w:val="007A188B"/>
    <w:rsid w:val="007A4B20"/>
    <w:rsid w:val="007B0C98"/>
    <w:rsid w:val="007B25C3"/>
    <w:rsid w:val="007C47C2"/>
    <w:rsid w:val="007D2886"/>
    <w:rsid w:val="007E34F8"/>
    <w:rsid w:val="007E53E1"/>
    <w:rsid w:val="007E5DE3"/>
    <w:rsid w:val="007F0398"/>
    <w:rsid w:val="007F3761"/>
    <w:rsid w:val="00804D7E"/>
    <w:rsid w:val="008102B6"/>
    <w:rsid w:val="00814406"/>
    <w:rsid w:val="00814D0A"/>
    <w:rsid w:val="00822870"/>
    <w:rsid w:val="0082510E"/>
    <w:rsid w:val="00825F9D"/>
    <w:rsid w:val="008422D2"/>
    <w:rsid w:val="008429CE"/>
    <w:rsid w:val="00846306"/>
    <w:rsid w:val="0085080D"/>
    <w:rsid w:val="008668F3"/>
    <w:rsid w:val="00874310"/>
    <w:rsid w:val="00875028"/>
    <w:rsid w:val="008832CB"/>
    <w:rsid w:val="00886A04"/>
    <w:rsid w:val="00891048"/>
    <w:rsid w:val="00892B49"/>
    <w:rsid w:val="00893425"/>
    <w:rsid w:val="008942D3"/>
    <w:rsid w:val="008A0F8C"/>
    <w:rsid w:val="008B041D"/>
    <w:rsid w:val="008B44F5"/>
    <w:rsid w:val="008B7CBD"/>
    <w:rsid w:val="008C280E"/>
    <w:rsid w:val="008D4560"/>
    <w:rsid w:val="009065FC"/>
    <w:rsid w:val="00906C78"/>
    <w:rsid w:val="00932652"/>
    <w:rsid w:val="00965993"/>
    <w:rsid w:val="0096690D"/>
    <w:rsid w:val="00970AF9"/>
    <w:rsid w:val="009737EF"/>
    <w:rsid w:val="00977A4E"/>
    <w:rsid w:val="00982014"/>
    <w:rsid w:val="00982948"/>
    <w:rsid w:val="0098695C"/>
    <w:rsid w:val="0098718D"/>
    <w:rsid w:val="009A0504"/>
    <w:rsid w:val="009A2784"/>
    <w:rsid w:val="009A6CF4"/>
    <w:rsid w:val="009A702C"/>
    <w:rsid w:val="009B514C"/>
    <w:rsid w:val="009C194E"/>
    <w:rsid w:val="009C1F7A"/>
    <w:rsid w:val="009C496B"/>
    <w:rsid w:val="009D177C"/>
    <w:rsid w:val="009E0C3B"/>
    <w:rsid w:val="009E272C"/>
    <w:rsid w:val="009E2A88"/>
    <w:rsid w:val="00A12B1D"/>
    <w:rsid w:val="00A23EA1"/>
    <w:rsid w:val="00A3036B"/>
    <w:rsid w:val="00A42662"/>
    <w:rsid w:val="00A44B24"/>
    <w:rsid w:val="00A47444"/>
    <w:rsid w:val="00A47EE7"/>
    <w:rsid w:val="00A50ACD"/>
    <w:rsid w:val="00A51800"/>
    <w:rsid w:val="00A7001E"/>
    <w:rsid w:val="00A708E2"/>
    <w:rsid w:val="00A718D3"/>
    <w:rsid w:val="00A75EA7"/>
    <w:rsid w:val="00A7647C"/>
    <w:rsid w:val="00A777CD"/>
    <w:rsid w:val="00A8684F"/>
    <w:rsid w:val="00AA4A9E"/>
    <w:rsid w:val="00AB3547"/>
    <w:rsid w:val="00AB70DF"/>
    <w:rsid w:val="00AC0852"/>
    <w:rsid w:val="00AE04C0"/>
    <w:rsid w:val="00AE3C24"/>
    <w:rsid w:val="00B0342A"/>
    <w:rsid w:val="00B0744E"/>
    <w:rsid w:val="00B11FB4"/>
    <w:rsid w:val="00B17072"/>
    <w:rsid w:val="00B2230D"/>
    <w:rsid w:val="00B26E97"/>
    <w:rsid w:val="00B65DA7"/>
    <w:rsid w:val="00B6601B"/>
    <w:rsid w:val="00B66AB3"/>
    <w:rsid w:val="00B67888"/>
    <w:rsid w:val="00B67DD3"/>
    <w:rsid w:val="00B801F4"/>
    <w:rsid w:val="00B80D65"/>
    <w:rsid w:val="00B9053B"/>
    <w:rsid w:val="00B91542"/>
    <w:rsid w:val="00B94C70"/>
    <w:rsid w:val="00BA02A0"/>
    <w:rsid w:val="00BA04DB"/>
    <w:rsid w:val="00BB16AA"/>
    <w:rsid w:val="00BB464B"/>
    <w:rsid w:val="00BB47D4"/>
    <w:rsid w:val="00BC0758"/>
    <w:rsid w:val="00BC1458"/>
    <w:rsid w:val="00BC52DA"/>
    <w:rsid w:val="00BE3A27"/>
    <w:rsid w:val="00BE6AB7"/>
    <w:rsid w:val="00BF120E"/>
    <w:rsid w:val="00BF39B0"/>
    <w:rsid w:val="00C04D2B"/>
    <w:rsid w:val="00C27879"/>
    <w:rsid w:val="00C416C2"/>
    <w:rsid w:val="00C449E6"/>
    <w:rsid w:val="00C52F5A"/>
    <w:rsid w:val="00C53C1F"/>
    <w:rsid w:val="00C65C3B"/>
    <w:rsid w:val="00C65CE9"/>
    <w:rsid w:val="00C65F10"/>
    <w:rsid w:val="00C66012"/>
    <w:rsid w:val="00C76FCF"/>
    <w:rsid w:val="00C84EF2"/>
    <w:rsid w:val="00C85495"/>
    <w:rsid w:val="00C92BDA"/>
    <w:rsid w:val="00CA68A2"/>
    <w:rsid w:val="00CB185E"/>
    <w:rsid w:val="00CB325A"/>
    <w:rsid w:val="00CB7507"/>
    <w:rsid w:val="00CD2A57"/>
    <w:rsid w:val="00CE5E0C"/>
    <w:rsid w:val="00CF7009"/>
    <w:rsid w:val="00D15715"/>
    <w:rsid w:val="00D33755"/>
    <w:rsid w:val="00D378B2"/>
    <w:rsid w:val="00D62C06"/>
    <w:rsid w:val="00D739AB"/>
    <w:rsid w:val="00D76C07"/>
    <w:rsid w:val="00D83F27"/>
    <w:rsid w:val="00D84125"/>
    <w:rsid w:val="00D842AB"/>
    <w:rsid w:val="00D84355"/>
    <w:rsid w:val="00D90546"/>
    <w:rsid w:val="00DA047C"/>
    <w:rsid w:val="00DC409A"/>
    <w:rsid w:val="00DD6491"/>
    <w:rsid w:val="00DD65DB"/>
    <w:rsid w:val="00E12E69"/>
    <w:rsid w:val="00E20EFD"/>
    <w:rsid w:val="00E3321E"/>
    <w:rsid w:val="00E36411"/>
    <w:rsid w:val="00E4368A"/>
    <w:rsid w:val="00E627A0"/>
    <w:rsid w:val="00E6674B"/>
    <w:rsid w:val="00E725A3"/>
    <w:rsid w:val="00EA0731"/>
    <w:rsid w:val="00EA5C04"/>
    <w:rsid w:val="00EC6E46"/>
    <w:rsid w:val="00ED1247"/>
    <w:rsid w:val="00ED1697"/>
    <w:rsid w:val="00ED69AD"/>
    <w:rsid w:val="00ED7EA6"/>
    <w:rsid w:val="00EE33DD"/>
    <w:rsid w:val="00EE77C4"/>
    <w:rsid w:val="00F03836"/>
    <w:rsid w:val="00F03A40"/>
    <w:rsid w:val="00F074EB"/>
    <w:rsid w:val="00F07D42"/>
    <w:rsid w:val="00F2227D"/>
    <w:rsid w:val="00F33186"/>
    <w:rsid w:val="00F353C3"/>
    <w:rsid w:val="00F43A98"/>
    <w:rsid w:val="00F515CC"/>
    <w:rsid w:val="00F657CA"/>
    <w:rsid w:val="00F767F9"/>
    <w:rsid w:val="00F77A3B"/>
    <w:rsid w:val="00F839B8"/>
    <w:rsid w:val="00F83DED"/>
    <w:rsid w:val="00F9491D"/>
    <w:rsid w:val="00FC45AF"/>
    <w:rsid w:val="00FD37D1"/>
    <w:rsid w:val="00FD3D12"/>
    <w:rsid w:val="00FE0846"/>
    <w:rsid w:val="00FE1FC9"/>
    <w:rsid w:val="00FE7356"/>
    <w:rsid w:val="00FF0A10"/>
    <w:rsid w:val="00FF1CD3"/>
    <w:rsid w:val="00FF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979C091-129C-4766-8560-EF3A1C5D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490"/>
    <w:rPr>
      <w:sz w:val="24"/>
      <w:szCs w:val="24"/>
    </w:rPr>
  </w:style>
  <w:style w:type="paragraph" w:styleId="Heading1">
    <w:name w:val="heading 1"/>
    <w:basedOn w:val="Normal"/>
    <w:next w:val="Normal"/>
    <w:qFormat/>
    <w:rsid w:val="007F3761"/>
    <w:pPr>
      <w:keepNext/>
      <w:outlineLvl w:val="0"/>
    </w:pPr>
    <w:rPr>
      <w:szCs w:val="20"/>
    </w:rPr>
  </w:style>
  <w:style w:type="paragraph" w:styleId="Heading2">
    <w:name w:val="heading 2"/>
    <w:basedOn w:val="Normal"/>
    <w:next w:val="Normal"/>
    <w:link w:val="Heading2Char"/>
    <w:semiHidden/>
    <w:unhideWhenUsed/>
    <w:qFormat/>
    <w:rsid w:val="00804D7E"/>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3082"/>
    <w:pPr>
      <w:autoSpaceDE w:val="0"/>
      <w:autoSpaceDN w:val="0"/>
      <w:adjustRightInd w:val="0"/>
    </w:pPr>
    <w:rPr>
      <w:color w:val="000000"/>
      <w:sz w:val="24"/>
      <w:szCs w:val="24"/>
    </w:rPr>
  </w:style>
  <w:style w:type="paragraph" w:styleId="Header">
    <w:name w:val="header"/>
    <w:basedOn w:val="Normal"/>
    <w:rsid w:val="00313082"/>
    <w:pPr>
      <w:tabs>
        <w:tab w:val="center" w:pos="4320"/>
        <w:tab w:val="right" w:pos="8640"/>
      </w:tabs>
    </w:pPr>
  </w:style>
  <w:style w:type="paragraph" w:styleId="Footer">
    <w:name w:val="footer"/>
    <w:basedOn w:val="Normal"/>
    <w:link w:val="FooterChar"/>
    <w:rsid w:val="00313082"/>
    <w:pPr>
      <w:tabs>
        <w:tab w:val="center" w:pos="4320"/>
        <w:tab w:val="right" w:pos="8640"/>
      </w:tabs>
    </w:pPr>
  </w:style>
  <w:style w:type="table" w:styleId="TableGrid">
    <w:name w:val="Table Grid"/>
    <w:basedOn w:val="TableNormal"/>
    <w:rsid w:val="002921E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921E1"/>
    <w:rPr>
      <w:color w:val="0000FF"/>
      <w:u w:val="single"/>
    </w:rPr>
  </w:style>
  <w:style w:type="character" w:customStyle="1" w:styleId="FooterChar">
    <w:name w:val="Footer Char"/>
    <w:basedOn w:val="DefaultParagraphFont"/>
    <w:link w:val="Footer"/>
    <w:rsid w:val="00B0744E"/>
    <w:rPr>
      <w:sz w:val="24"/>
      <w:szCs w:val="24"/>
    </w:rPr>
  </w:style>
  <w:style w:type="paragraph" w:styleId="BodyText">
    <w:name w:val="Body Text"/>
    <w:basedOn w:val="Normal"/>
    <w:link w:val="BodyTextChar"/>
    <w:rsid w:val="00AC0852"/>
    <w:pPr>
      <w:spacing w:before="60" w:after="240"/>
      <w:ind w:firstLine="720"/>
    </w:pPr>
  </w:style>
  <w:style w:type="character" w:customStyle="1" w:styleId="BodyTextChar">
    <w:name w:val="Body Text Char"/>
    <w:basedOn w:val="DefaultParagraphFont"/>
    <w:link w:val="BodyText"/>
    <w:rsid w:val="00AC0852"/>
    <w:rPr>
      <w:sz w:val="24"/>
      <w:szCs w:val="24"/>
    </w:rPr>
  </w:style>
  <w:style w:type="character" w:customStyle="1" w:styleId="Heading2Char">
    <w:name w:val="Heading 2 Char"/>
    <w:basedOn w:val="DefaultParagraphFont"/>
    <w:link w:val="Heading2"/>
    <w:semiHidden/>
    <w:rsid w:val="00804D7E"/>
    <w:rPr>
      <w:rFonts w:ascii="Cambria" w:eastAsia="Times New Roman" w:hAnsi="Cambria" w:cs="Times New Roman"/>
      <w:b/>
      <w:bCs/>
      <w:i/>
      <w:iCs/>
      <w:sz w:val="28"/>
      <w:szCs w:val="28"/>
    </w:rPr>
  </w:style>
  <w:style w:type="character" w:styleId="PageNumber">
    <w:name w:val="page number"/>
    <w:basedOn w:val="DefaultParagraphFont"/>
    <w:rsid w:val="00804D7E"/>
  </w:style>
  <w:style w:type="paragraph" w:styleId="ListParagraph">
    <w:name w:val="List Paragraph"/>
    <w:basedOn w:val="Normal"/>
    <w:uiPriority w:val="34"/>
    <w:qFormat/>
    <w:rsid w:val="003A2884"/>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1270">
      <w:bodyDiv w:val="1"/>
      <w:marLeft w:val="0"/>
      <w:marRight w:val="0"/>
      <w:marTop w:val="0"/>
      <w:marBottom w:val="0"/>
      <w:divBdr>
        <w:top w:val="none" w:sz="0" w:space="0" w:color="auto"/>
        <w:left w:val="none" w:sz="0" w:space="0" w:color="auto"/>
        <w:bottom w:val="none" w:sz="0" w:space="0" w:color="auto"/>
        <w:right w:val="none" w:sz="0" w:space="0" w:color="auto"/>
      </w:divBdr>
    </w:div>
    <w:div w:id="116066633">
      <w:bodyDiv w:val="1"/>
      <w:marLeft w:val="0"/>
      <w:marRight w:val="0"/>
      <w:marTop w:val="0"/>
      <w:marBottom w:val="0"/>
      <w:divBdr>
        <w:top w:val="none" w:sz="0" w:space="0" w:color="auto"/>
        <w:left w:val="none" w:sz="0" w:space="0" w:color="auto"/>
        <w:bottom w:val="none" w:sz="0" w:space="0" w:color="auto"/>
        <w:right w:val="none" w:sz="0" w:space="0" w:color="auto"/>
      </w:divBdr>
      <w:divsChild>
        <w:div w:id="183910394">
          <w:marLeft w:val="0"/>
          <w:marRight w:val="0"/>
          <w:marTop w:val="0"/>
          <w:marBottom w:val="0"/>
          <w:divBdr>
            <w:top w:val="none" w:sz="0" w:space="0" w:color="auto"/>
            <w:left w:val="none" w:sz="0" w:space="0" w:color="auto"/>
            <w:bottom w:val="none" w:sz="0" w:space="0" w:color="auto"/>
            <w:right w:val="none" w:sz="0" w:space="0" w:color="auto"/>
          </w:divBdr>
        </w:div>
      </w:divsChild>
    </w:div>
    <w:div w:id="907039746">
      <w:bodyDiv w:val="1"/>
      <w:marLeft w:val="0"/>
      <w:marRight w:val="0"/>
      <w:marTop w:val="0"/>
      <w:marBottom w:val="0"/>
      <w:divBdr>
        <w:top w:val="none" w:sz="0" w:space="0" w:color="auto"/>
        <w:left w:val="none" w:sz="0" w:space="0" w:color="auto"/>
        <w:bottom w:val="none" w:sz="0" w:space="0" w:color="auto"/>
        <w:right w:val="none" w:sz="0" w:space="0" w:color="auto"/>
      </w:divBdr>
    </w:div>
    <w:div w:id="909267109">
      <w:bodyDiv w:val="1"/>
      <w:marLeft w:val="0"/>
      <w:marRight w:val="0"/>
      <w:marTop w:val="0"/>
      <w:marBottom w:val="0"/>
      <w:divBdr>
        <w:top w:val="none" w:sz="0" w:space="0" w:color="auto"/>
        <w:left w:val="none" w:sz="0" w:space="0" w:color="auto"/>
        <w:bottom w:val="none" w:sz="0" w:space="0" w:color="auto"/>
        <w:right w:val="none" w:sz="0" w:space="0" w:color="auto"/>
      </w:divBdr>
      <w:divsChild>
        <w:div w:id="1294024009">
          <w:marLeft w:val="0"/>
          <w:marRight w:val="0"/>
          <w:marTop w:val="0"/>
          <w:marBottom w:val="0"/>
          <w:divBdr>
            <w:top w:val="none" w:sz="0" w:space="0" w:color="auto"/>
            <w:left w:val="none" w:sz="0" w:space="0" w:color="auto"/>
            <w:bottom w:val="none" w:sz="0" w:space="0" w:color="auto"/>
            <w:right w:val="none" w:sz="0" w:space="0" w:color="auto"/>
          </w:divBdr>
        </w:div>
      </w:divsChild>
    </w:div>
    <w:div w:id="16153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1073\Downloads\Medisys\Letter%20Generalization\18%20Nov\Pragasam's\RFI_CANCEL_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RFI_CANCEL_13.DOT</Template>
  <TotalTime>20</TotalTime>
  <Pages>4</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Exhibit 1: Model Notice for Beneficiary Attestation of Creditable</vt:lpstr>
    </vt:vector>
  </TitlesOfParts>
  <Company>WellPoint,  Inc.</Company>
  <LinksUpToDate>false</LinksUpToDate>
  <CharactersWithSpaces>8182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1: Model Notice for Beneficiary Attestation of Creditable</dc:title>
  <dc:creator>Pragasam</dc:creator>
  <cp:lastModifiedBy>Patty Voss</cp:lastModifiedBy>
  <cp:revision>7</cp:revision>
  <dcterms:created xsi:type="dcterms:W3CDTF">2015-04-30T15:32:00Z</dcterms:created>
  <dcterms:modified xsi:type="dcterms:W3CDTF">2018-11-01T19:18:00Z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