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Quarto</w:t>
      </w:r>
      <w:r>
        <w:t xml:space="preserve"> </w:t>
      </w:r>
      <w:r>
        <w:t xml:space="preserve">Assignment</w:t>
      </w:r>
      <w:r>
        <w:t xml:space="preserve"> </w:t>
      </w:r>
      <w:r>
        <w:t xml:space="preserve">1</w:t>
      </w:r>
    </w:p>
    <w:p>
      <w:pPr>
        <w:pStyle w:val="Author"/>
      </w:pPr>
      <w:r>
        <w:t xml:space="preserve">Anjolaoluwa</w:t>
      </w:r>
      <w:r>
        <w:t xml:space="preserve"> </w:t>
      </w:r>
      <w:r>
        <w:t xml:space="preserve">Olatunbosun</w:t>
      </w:r>
    </w:p>
    <w:p>
      <w:pPr>
        <w:pStyle w:val="Date"/>
      </w:pPr>
      <w:r>
        <w:t xml:space="preserve">4/12/23</w:t>
      </w:r>
    </w:p>
    <w:bookmarkStart w:id="31" w:name="game-of-thrones"/>
    <w:p>
      <w:pPr>
        <w:pStyle w:val="Heading1"/>
      </w:pPr>
      <w:r>
        <w:t xml:space="preserve">Game of Thrones</w:t>
      </w:r>
    </w:p>
    <w:bookmarkStart w:id="24" w:name="brief-description"/>
    <w:p>
      <w:pPr>
        <w:pStyle w:val="Heading3"/>
      </w:pPr>
      <w:r>
        <w:t xml:space="preserve">Brief Description</w:t>
      </w:r>
    </w:p>
    <w:p>
      <w:pPr>
        <w:pStyle w:val="FirstParagraph"/>
      </w:pPr>
      <w:r>
        <w:t xml:space="preserve">Game of Thrones is an American fantasy drama television series created by David Beinoff and D.B. Weiss for HBO. It is an adaptation of A song of Ice and Fire, a series of fantasy novels by George R. R. Martin, the first of which is A Game of Thrones. The show was shot in the United Kingdom, Canada, Croatia, Iceland, Malta, Morocco, and Spain. It premiered on HBO in the United States on April 17, 2011, and concluded on May 19, 2019, with 73 episodes broadcast over eight seasons.</w:t>
      </w:r>
    </w:p>
    <w:p>
      <w:pPr>
        <w:pStyle w:val="SourceCode"/>
      </w:pPr>
    </w:p>
    <w:tbl>
      <w:tblPr>
        <w:tblStyle w:val="Table"/>
        <w:tblW w:type="pct" w:w="5000"/>
        <w:tblLook w:firstRow="0" w:lastRow="0" w:firstColumn="0" w:lastColumn="0" w:noHBand="0" w:noVBand="0" w:val="0000"/>
      </w:tblPr>
      <w:tblGrid>
        <w:gridCol w:w="7920"/>
      </w:tblGrid>
      <w:tr>
        <w:tc>
          <w:tcPr/>
          <w:p>
            <w:pPr>
              <w:jc w:val="center"/>
            </w:pPr>
            <w:hyperlink r:id="rId23">
              <w:r>
                <w:drawing>
                  <wp:inline>
                    <wp:extent cx="4445000" cy="2501900"/>
                    <wp:effectExtent b="0" l="0" r="0" t="0"/>
                    <wp:docPr descr="" title="" id="21" name="Picture"/>
                    <a:graphic>
                      <a:graphicData uri="http://schemas.openxmlformats.org/drawingml/2006/picture">
                        <pic:pic>
                          <pic:nvPicPr>
                            <pic:cNvPr descr="Game_of_Thrones_title_card.jpg" id="22" name="Picture"/>
                            <pic:cNvPicPr>
                              <a:picLocks noChangeArrowheads="1" noChangeAspect="1"/>
                            </pic:cNvPicPr>
                          </pic:nvPicPr>
                          <pic:blipFill>
                            <a:blip r:embed="rId20"/>
                            <a:stretch>
                              <a:fillRect/>
                            </a:stretch>
                          </pic:blipFill>
                          <pic:spPr bwMode="auto">
                            <a:xfrm>
                              <a:off x="0" y="0"/>
                              <a:ext cx="4445000" cy="25019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Game of Thrones</w:t>
            </w:r>
          </w:p>
        </w:tc>
      </w:tr>
    </w:tbl>
    <w:bookmarkEnd w:id="24"/>
    <w:bookmarkStart w:id="28" w:name="viewership"/>
    <w:p>
      <w:pPr>
        <w:pStyle w:val="Heading3"/>
      </w:pPr>
      <w:r>
        <w:rPr>
          <w:bCs/>
          <w:b/>
        </w:rPr>
        <w:t xml:space="preserve">Viewership</w:t>
      </w:r>
    </w:p>
    <w:p>
      <w:pPr>
        <w:pStyle w:val="FirstParagraph"/>
      </w:pPr>
      <w:r>
        <w:t xml:space="preserve">Game of Thrones was considered a ratings success for HBO throughout all eight seasons. The show premiere was watched by 2.2 million, and the first season averaged 2.5 million viewers per episode. For its second season, the series had an average gross audience of 11.6 million viewers. The third season was seen by 14.2 million viewers, making Game of Thrones the second-most-viewed HBO series (after The Sopranos). HBO said that Game of Thrones’ average gross audience of 18.4 million viewers (later adjusted to 18.6 million) had passed The Sopranos for the viewership record. The season five episode</w:t>
      </w:r>
      <w:r>
        <w:t xml:space="preserve"> </w:t>
      </w:r>
      <w:r>
        <w:t xml:space="preserve">“</w:t>
      </w:r>
      <w:r>
        <w:t xml:space="preserve">The House of Black And White</w:t>
      </w:r>
      <w:r>
        <w:t xml:space="preserve">”</w:t>
      </w:r>
      <w:r>
        <w:t xml:space="preserve"> </w:t>
      </w:r>
      <w:r>
        <w:t xml:space="preserve">was simulcasted in 173 countries, becoming the</w:t>
      </w:r>
      <w:r>
        <w:t xml:space="preserve"> </w:t>
      </w:r>
      <w:r>
        <w:t xml:space="preserve">“</w:t>
      </w:r>
      <w:r>
        <w:t xml:space="preserve">largest TV drama telecast</w:t>
      </w:r>
      <w:r>
        <w:t xml:space="preserve">”</w:t>
      </w:r>
      <w:r>
        <w:t xml:space="preserve"> </w:t>
      </w:r>
      <w:r>
        <w:t xml:space="preserve">according to Guinness World Records.</w:t>
      </w:r>
    </w:p>
    <w:p>
      <w:pPr>
        <w:pStyle w:val="TableCaption"/>
      </w:pPr>
      <w:r>
        <w:t xml:space="preserve">U.S. viewers per Season (avg millions)</w:t>
      </w:r>
    </w:p>
    <w:tbl>
      <w:tblPr>
        <w:tblStyle w:val="Table"/>
        <w:tblW w:type="auto" w:w="0"/>
        <w:tblLook w:firstRow="1" w:lastRow="0" w:firstColumn="0" w:lastColumn="0" w:noHBand="0" w:noVBand="0" w:val="0020"/>
        <w:tblCaption w:val="U.S. viewers per Season (avg millions)"/>
      </w:tblPr>
      <w:tblGrid>
        <w:gridCol w:w="3960"/>
        <w:gridCol w:w="3960"/>
      </w:tblGrid>
      <w:tr>
        <w:trPr>
          <w:tblHeader w:val="true"/>
        </w:trPr>
        <w:tc>
          <w:tcPr/>
          <w:p>
            <w:pPr>
              <w:pStyle w:val="Compact"/>
              <w:jc w:val="left"/>
            </w:pPr>
            <w:r>
              <w:t xml:space="preserve">Season</w:t>
            </w:r>
          </w:p>
        </w:tc>
        <w:tc>
          <w:tcPr/>
          <w:p>
            <w:pPr>
              <w:pStyle w:val="Compact"/>
              <w:jc w:val="left"/>
            </w:pPr>
            <w:r>
              <w:t xml:space="preserve">Average Viewers Per Seaon (millions)</w:t>
            </w:r>
          </w:p>
        </w:tc>
      </w:tr>
      <w:tr>
        <w:tc>
          <w:tcPr/>
          <w:p>
            <w:pPr>
              <w:pStyle w:val="Compact"/>
              <w:jc w:val="left"/>
            </w:pPr>
            <w:r>
              <w:t xml:space="preserve">1- 2011</w:t>
            </w:r>
          </w:p>
        </w:tc>
        <w:tc>
          <w:tcPr/>
          <w:p>
            <w:pPr>
              <w:pStyle w:val="Compact"/>
              <w:jc w:val="left"/>
            </w:pPr>
            <w:r>
              <w:t xml:space="preserve">2.52</w:t>
            </w:r>
          </w:p>
        </w:tc>
      </w:tr>
      <w:tr>
        <w:tc>
          <w:tcPr/>
          <w:p>
            <w:pPr>
              <w:pStyle w:val="Compact"/>
              <w:jc w:val="left"/>
            </w:pPr>
            <w:r>
              <w:t xml:space="preserve">2- 2012</w:t>
            </w:r>
          </w:p>
        </w:tc>
        <w:tc>
          <w:tcPr/>
          <w:p>
            <w:pPr>
              <w:pStyle w:val="Compact"/>
              <w:jc w:val="left"/>
            </w:pPr>
            <w:r>
              <w:t xml:space="preserve">3.8</w:t>
            </w:r>
          </w:p>
        </w:tc>
      </w:tr>
      <w:tr>
        <w:tc>
          <w:tcPr/>
          <w:p>
            <w:pPr>
              <w:pStyle w:val="Compact"/>
              <w:jc w:val="left"/>
            </w:pPr>
            <w:r>
              <w:t xml:space="preserve">3- 2013</w:t>
            </w:r>
          </w:p>
        </w:tc>
        <w:tc>
          <w:tcPr/>
          <w:p>
            <w:pPr>
              <w:pStyle w:val="Compact"/>
              <w:jc w:val="left"/>
            </w:pPr>
            <w:r>
              <w:t xml:space="preserve">4.97</w:t>
            </w:r>
          </w:p>
        </w:tc>
      </w:tr>
      <w:tr>
        <w:tc>
          <w:tcPr/>
          <w:p>
            <w:pPr>
              <w:pStyle w:val="Compact"/>
              <w:jc w:val="left"/>
            </w:pPr>
            <w:r>
              <w:t xml:space="preserve">4- 2014</w:t>
            </w:r>
          </w:p>
        </w:tc>
        <w:tc>
          <w:tcPr/>
          <w:p>
            <w:pPr>
              <w:pStyle w:val="Compact"/>
              <w:jc w:val="left"/>
            </w:pPr>
            <w:r>
              <w:t xml:space="preserve">6.84</w:t>
            </w:r>
          </w:p>
        </w:tc>
      </w:tr>
      <w:tr>
        <w:tc>
          <w:tcPr/>
          <w:p>
            <w:pPr>
              <w:pStyle w:val="Compact"/>
              <w:jc w:val="left"/>
            </w:pPr>
            <w:r>
              <w:t xml:space="preserve">5- 2015</w:t>
            </w:r>
          </w:p>
        </w:tc>
        <w:tc>
          <w:tcPr/>
          <w:p>
            <w:pPr>
              <w:pStyle w:val="Compact"/>
              <w:jc w:val="left"/>
            </w:pPr>
            <w:r>
              <w:t xml:space="preserve">6.88</w:t>
            </w:r>
          </w:p>
        </w:tc>
      </w:tr>
      <w:tr>
        <w:tc>
          <w:tcPr/>
          <w:p>
            <w:pPr>
              <w:pStyle w:val="Compact"/>
              <w:jc w:val="left"/>
            </w:pPr>
            <w:r>
              <w:t xml:space="preserve">6- 2016</w:t>
            </w:r>
          </w:p>
        </w:tc>
        <w:tc>
          <w:tcPr/>
          <w:p>
            <w:pPr>
              <w:pStyle w:val="Compact"/>
              <w:jc w:val="left"/>
            </w:pPr>
            <w:r>
              <w:t xml:space="preserve">7.69</w:t>
            </w:r>
          </w:p>
        </w:tc>
      </w:tr>
      <w:tr>
        <w:tc>
          <w:tcPr/>
          <w:p>
            <w:pPr>
              <w:pStyle w:val="Compact"/>
              <w:jc w:val="left"/>
            </w:pPr>
            <w:r>
              <w:t xml:space="preserve">7- 2017</w:t>
            </w:r>
          </w:p>
        </w:tc>
        <w:tc>
          <w:tcPr/>
          <w:p>
            <w:pPr>
              <w:pStyle w:val="Compact"/>
              <w:jc w:val="left"/>
            </w:pPr>
            <w:r>
              <w:t xml:space="preserve">10.26</w:t>
            </w:r>
          </w:p>
        </w:tc>
      </w:tr>
      <w:tr>
        <w:tc>
          <w:tcPr/>
          <w:p>
            <w:pPr>
              <w:pStyle w:val="Compact"/>
              <w:jc w:val="left"/>
            </w:pPr>
            <w:r>
              <w:t xml:space="preserve">8- 2019</w:t>
            </w:r>
          </w:p>
        </w:tc>
        <w:tc>
          <w:tcPr/>
          <w:p>
            <w:pPr>
              <w:pStyle w:val="Compact"/>
              <w:jc w:val="left"/>
            </w:pPr>
            <w:r>
              <w:t xml:space="preserve">11.99</w:t>
            </w:r>
          </w:p>
        </w:tc>
      </w:tr>
    </w:tbl>
    <w:p>
      <w:pPr>
        <w:pStyle w:val="SourceCode"/>
      </w:pPr>
      <w:r>
        <w:rPr>
          <w:rStyle w:val="InformationTok"/>
        </w:rPr>
        <w:t xml:space="preserve">```{r}</w:t>
      </w:r>
      <w:r>
        <w:br/>
      </w:r>
      <w:r>
        <w:rPr>
          <w:rStyle w:val="FunctionTok"/>
        </w:rPr>
        <w:t xml:space="preserve">library</w:t>
      </w:r>
      <w:r>
        <w:rPr>
          <w:rStyle w:val="NormalTok"/>
        </w:rPr>
        <w:t xml:space="preserve">(ggplot2)</w:t>
      </w:r>
      <w:r>
        <w:br/>
      </w:r>
      <w:r>
        <w:rPr>
          <w:rStyle w:val="NormalTok"/>
        </w:rPr>
        <w:t xml:space="preserve">GOT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Season =</w:t>
      </w:r>
      <w:r>
        <w:rPr>
          <w:rStyle w:val="NormalTok"/>
        </w:rPr>
        <w:t xml:space="preserve"> </w:t>
      </w:r>
      <w:r>
        <w:rPr>
          <w:rStyle w:val="FunctionTok"/>
        </w:rPr>
        <w:t xml:space="preserve">c</w:t>
      </w:r>
      <w:r>
        <w:rPr>
          <w:rStyle w:val="NormalTok"/>
        </w:rPr>
        <w:t xml:space="preserve">(</w:t>
      </w:r>
      <w:r>
        <w:rPr>
          <w:rStyle w:val="StringTok"/>
        </w:rPr>
        <w:t xml:space="preserve">"1- 2011"</w:t>
      </w:r>
      <w:r>
        <w:rPr>
          <w:rStyle w:val="NormalTok"/>
        </w:rPr>
        <w:t xml:space="preserve">, </w:t>
      </w:r>
      <w:r>
        <w:rPr>
          <w:rStyle w:val="StringTok"/>
        </w:rPr>
        <w:t xml:space="preserve">"2- 2012"</w:t>
      </w:r>
      <w:r>
        <w:rPr>
          <w:rStyle w:val="NormalTok"/>
        </w:rPr>
        <w:t xml:space="preserve">, </w:t>
      </w:r>
      <w:r>
        <w:rPr>
          <w:rStyle w:val="StringTok"/>
        </w:rPr>
        <w:t xml:space="preserve">"3- 2013"</w:t>
      </w:r>
      <w:r>
        <w:rPr>
          <w:rStyle w:val="NormalTok"/>
        </w:rPr>
        <w:t xml:space="preserve">, </w:t>
      </w:r>
      <w:r>
        <w:rPr>
          <w:rStyle w:val="StringTok"/>
        </w:rPr>
        <w:t xml:space="preserve">"4- 2014"</w:t>
      </w:r>
      <w:r>
        <w:rPr>
          <w:rStyle w:val="NormalTok"/>
        </w:rPr>
        <w:t xml:space="preserve">, </w:t>
      </w:r>
      <w:r>
        <w:rPr>
          <w:rStyle w:val="StringTok"/>
        </w:rPr>
        <w:t xml:space="preserve">"5- 2015"</w:t>
      </w:r>
      <w:r>
        <w:rPr>
          <w:rStyle w:val="NormalTok"/>
        </w:rPr>
        <w:t xml:space="preserve">, </w:t>
      </w:r>
      <w:r>
        <w:rPr>
          <w:rStyle w:val="StringTok"/>
        </w:rPr>
        <w:t xml:space="preserve">"6- 2016"</w:t>
      </w:r>
      <w:r>
        <w:rPr>
          <w:rStyle w:val="NormalTok"/>
        </w:rPr>
        <w:t xml:space="preserve">, </w:t>
      </w:r>
      <w:r>
        <w:rPr>
          <w:rStyle w:val="StringTok"/>
        </w:rPr>
        <w:t xml:space="preserve">"7- 2017"</w:t>
      </w:r>
      <w:r>
        <w:rPr>
          <w:rStyle w:val="NormalTok"/>
        </w:rPr>
        <w:t xml:space="preserve">, </w:t>
      </w:r>
      <w:r>
        <w:rPr>
          <w:rStyle w:val="StringTok"/>
        </w:rPr>
        <w:t xml:space="preserve">"8- 2019"</w:t>
      </w:r>
      <w:r>
        <w:rPr>
          <w:rStyle w:val="NormalTok"/>
        </w:rPr>
        <w:t xml:space="preserve">), </w:t>
      </w:r>
      <w:r>
        <w:rPr>
          <w:rStyle w:val="AttributeTok"/>
        </w:rPr>
        <w:t xml:space="preserve">Avg_Viewers_Per_Season_mill =</w:t>
      </w:r>
      <w:r>
        <w:rPr>
          <w:rStyle w:val="NormalTok"/>
        </w:rPr>
        <w:t xml:space="preserve"> </w:t>
      </w:r>
      <w:r>
        <w:rPr>
          <w:rStyle w:val="FunctionTok"/>
        </w:rPr>
        <w:t xml:space="preserve">c</w:t>
      </w:r>
      <w:r>
        <w:rPr>
          <w:rStyle w:val="NormalTok"/>
        </w:rPr>
        <w:t xml:space="preserve">(</w:t>
      </w:r>
      <w:r>
        <w:rPr>
          <w:rStyle w:val="FloatTok"/>
        </w:rPr>
        <w:t xml:space="preserve">2.52</w:t>
      </w:r>
      <w:r>
        <w:rPr>
          <w:rStyle w:val="NormalTok"/>
        </w:rPr>
        <w:t xml:space="preserve">, </w:t>
      </w:r>
      <w:r>
        <w:rPr>
          <w:rStyle w:val="FloatTok"/>
        </w:rPr>
        <w:t xml:space="preserve">3.8</w:t>
      </w:r>
      <w:r>
        <w:rPr>
          <w:rStyle w:val="NormalTok"/>
        </w:rPr>
        <w:t xml:space="preserve">, </w:t>
      </w:r>
      <w:r>
        <w:rPr>
          <w:rStyle w:val="FloatTok"/>
        </w:rPr>
        <w:t xml:space="preserve">4.97</w:t>
      </w:r>
      <w:r>
        <w:rPr>
          <w:rStyle w:val="NormalTok"/>
        </w:rPr>
        <w:t xml:space="preserve">, </w:t>
      </w:r>
      <w:r>
        <w:rPr>
          <w:rStyle w:val="FloatTok"/>
        </w:rPr>
        <w:t xml:space="preserve">6.84</w:t>
      </w:r>
      <w:r>
        <w:rPr>
          <w:rStyle w:val="NormalTok"/>
        </w:rPr>
        <w:t xml:space="preserve">, </w:t>
      </w:r>
      <w:r>
        <w:rPr>
          <w:rStyle w:val="FloatTok"/>
        </w:rPr>
        <w:t xml:space="preserve">6.88</w:t>
      </w:r>
      <w:r>
        <w:rPr>
          <w:rStyle w:val="NormalTok"/>
        </w:rPr>
        <w:t xml:space="preserve">, </w:t>
      </w:r>
      <w:r>
        <w:rPr>
          <w:rStyle w:val="FloatTok"/>
        </w:rPr>
        <w:t xml:space="preserve">7.69</w:t>
      </w:r>
      <w:r>
        <w:rPr>
          <w:rStyle w:val="NormalTok"/>
        </w:rPr>
        <w:t xml:space="preserve">, </w:t>
      </w:r>
      <w:r>
        <w:rPr>
          <w:rStyle w:val="FloatTok"/>
        </w:rPr>
        <w:t xml:space="preserve">10.26</w:t>
      </w:r>
      <w:r>
        <w:rPr>
          <w:rStyle w:val="NormalTok"/>
        </w:rPr>
        <w:t xml:space="preserve">, </w:t>
      </w:r>
      <w:r>
        <w:rPr>
          <w:rStyle w:val="FloatTok"/>
        </w:rPr>
        <w:t xml:space="preserve">11.99</w:t>
      </w:r>
      <w:r>
        <w:rPr>
          <w:rStyle w:val="NormalTok"/>
        </w:rPr>
        <w:t xml:space="preserve">))</w:t>
      </w:r>
      <w:r>
        <w:br/>
      </w:r>
      <w:r>
        <w:rPr>
          <w:rStyle w:val="InformationTok"/>
        </w:rPr>
        <w:t xml:space="preserve">```</w:t>
      </w:r>
    </w:p>
    <w:p>
      <w:pPr>
        <w:pStyle w:val="SourceCode"/>
      </w:pPr>
      <w:r>
        <w:rPr>
          <w:rStyle w:val="InformationTok"/>
        </w:rPr>
        <w:t xml:space="preserve">```{r}</w:t>
      </w:r>
      <w:r>
        <w:br/>
      </w:r>
      <w:r>
        <w:rPr>
          <w:rStyle w:val="NormalTok"/>
        </w:rPr>
        <w:t xml:space="preserve">GOT_VIEWS </w:t>
      </w:r>
      <w:r>
        <w:rPr>
          <w:rStyle w:val="OtherTok"/>
        </w:rPr>
        <w:t xml:space="preserve">&lt;-</w:t>
      </w:r>
      <w:r>
        <w:rPr>
          <w:rStyle w:val="NormalTok"/>
        </w:rPr>
        <w:t xml:space="preserve"> </w:t>
      </w:r>
      <w:r>
        <w:rPr>
          <w:rStyle w:val="FunctionTok"/>
        </w:rPr>
        <w:t xml:space="preserve">ggplot</w:t>
      </w:r>
      <w:r>
        <w:rPr>
          <w:rStyle w:val="NormalTok"/>
        </w:rPr>
        <w:t xml:space="preserve">(GOT, </w:t>
      </w:r>
      <w:r>
        <w:rPr>
          <w:rStyle w:val="FunctionTok"/>
        </w:rPr>
        <w:t xml:space="preserve">aes</w:t>
      </w:r>
      <w:r>
        <w:rPr>
          <w:rStyle w:val="NormalTok"/>
        </w:rPr>
        <w:t xml:space="preserve">(</w:t>
      </w:r>
      <w:r>
        <w:rPr>
          <w:rStyle w:val="AttributeTok"/>
        </w:rPr>
        <w:t xml:space="preserve">x =</w:t>
      </w:r>
      <w:r>
        <w:rPr>
          <w:rStyle w:val="NormalTok"/>
        </w:rPr>
        <w:t xml:space="preserve"> Season, </w:t>
      </w:r>
      <w:r>
        <w:rPr>
          <w:rStyle w:val="AttributeTok"/>
        </w:rPr>
        <w:t xml:space="preserve">y =</w:t>
      </w:r>
      <w:r>
        <w:rPr>
          <w:rStyle w:val="NormalTok"/>
        </w:rPr>
        <w:t xml:space="preserve"> Avg_Viewers_Per_Season_mill, </w:t>
      </w:r>
      <w:r>
        <w:rPr>
          <w:rStyle w:val="AttributeTok"/>
        </w:rPr>
        <w:t xml:space="preserve">fill=</w:t>
      </w:r>
      <w:r>
        <w:rPr>
          <w:rStyle w:val="NormalTok"/>
        </w:rPr>
        <w:t xml:space="preserve"> Season))</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w:t>
      </w:r>
      <w:r>
        <w:br/>
      </w:r>
      <w:r>
        <w:br/>
      </w:r>
      <w:r>
        <w:rPr>
          <w:rStyle w:val="NormalTok"/>
        </w:rPr>
        <w:t xml:space="preserve">GOT_VIEWS </w:t>
      </w:r>
      <w:r>
        <w:rPr>
          <w:rStyle w:val="SpecialCharTok"/>
        </w:rPr>
        <w:t xml:space="preserve">+</w:t>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"orange"</w:t>
      </w:r>
      <w:r>
        <w:rPr>
          <w:rStyle w:val="NormalTok"/>
        </w:rPr>
        <w:t xml:space="preserve">, </w:t>
      </w:r>
      <w:r>
        <w:rPr>
          <w:rStyle w:val="StringTok"/>
        </w:rPr>
        <w:t xml:space="preserve">"green"</w:t>
      </w:r>
      <w:r>
        <w:rPr>
          <w:rStyle w:val="NormalTok"/>
        </w:rPr>
        <w:t xml:space="preserve">, </w:t>
      </w:r>
      <w:r>
        <w:rPr>
          <w:rStyle w:val="StringTok"/>
        </w:rPr>
        <w:t xml:space="preserve">"purple"</w:t>
      </w:r>
      <w:r>
        <w:rPr>
          <w:rStyle w:val="NormalTok"/>
        </w:rPr>
        <w:t xml:space="preserve">, </w:t>
      </w:r>
      <w:r>
        <w:rPr>
          <w:rStyle w:val="StringTok"/>
        </w:rPr>
        <w:t xml:space="preserve">"pink"</w:t>
      </w:r>
      <w:r>
        <w:rPr>
          <w:rStyle w:val="NormalTok"/>
        </w:rPr>
        <w:t xml:space="preserve">, </w:t>
      </w:r>
      <w:r>
        <w:rPr>
          <w:rStyle w:val="StringTok"/>
        </w:rPr>
        <w:t xml:space="preserve">"grey"</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"U.S. viewers per Season (avg millions)"</w:t>
      </w:r>
      <w:r>
        <w:rPr>
          <w:rStyle w:val="NormalTok"/>
        </w:rPr>
        <w:t xml:space="preserve">, </w:t>
      </w:r>
      <w:r>
        <w:rPr>
          <w:rStyle w:val="AttributeTok"/>
        </w:rPr>
        <w:t xml:space="preserve">x =</w:t>
      </w:r>
      <w:r>
        <w:rPr>
          <w:rStyle w:val="NormalTok"/>
        </w:rPr>
        <w:t xml:space="preserve"> </w:t>
      </w:r>
      <w:r>
        <w:rPr>
          <w:rStyle w:val="StringTok"/>
        </w:rPr>
        <w:t xml:space="preserve">"Season"</w:t>
      </w:r>
      <w:r>
        <w:rPr>
          <w:rStyle w:val="NormalTok"/>
        </w:rPr>
        <w:t xml:space="preserve">, </w:t>
      </w:r>
      <w:r>
        <w:rPr>
          <w:rStyle w:val="AttributeTok"/>
        </w:rPr>
        <w:t xml:space="preserve">y =</w:t>
      </w:r>
      <w:r>
        <w:rPr>
          <w:rStyle w:val="NormalTok"/>
        </w:rPr>
        <w:t xml:space="preserve"> </w:t>
      </w:r>
      <w:r>
        <w:rPr>
          <w:rStyle w:val="StringTok"/>
        </w:rPr>
        <w:t xml:space="preserve">"Avg_Viewers_Per_Season_mill"</w:t>
      </w:r>
      <w:r>
        <w:rPr>
          <w:rStyle w:val="NormalTok"/>
        </w:rPr>
        <w:t xml:space="preserve">)</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signif</w:t>
      </w:r>
      <w:r>
        <w:rPr>
          <w:rStyle w:val="NormalTok"/>
        </w:rPr>
        <w:t xml:space="preserve">(Avg_Viewers_Per_Season_mill)), </w:t>
      </w:r>
      <w:r>
        <w:rPr>
          <w:rStyle w:val="AttributeTok"/>
        </w:rPr>
        <w:t xml:space="preserve">nudge_y =</w:t>
      </w:r>
      <w:r>
        <w:rPr>
          <w:rStyle w:val="NormalTok"/>
        </w:rPr>
        <w:t xml:space="preserve"> </w:t>
      </w:r>
      <w:r>
        <w:rPr>
          <w:rStyle w:val="FloatTok"/>
        </w:rPr>
        <w:t xml:space="preserve">0.5</w:t>
      </w:r>
      <w:r>
        <w:rPr>
          <w:rStyle w:val="NormalTok"/>
        </w:rPr>
        <w:t xml:space="preserve">)</w:t>
      </w:r>
      <w:r>
        <w:br/>
      </w:r>
      <w:r>
        <w:rPr>
          <w:rStyle w:val="InformationTok"/>
        </w:rPr>
        <w:t xml:space="preserve">```</w:t>
      </w:r>
    </w:p>
    <w:p>
      <w:pPr>
        <w:pStyle w:val="FirstParagraph"/>
      </w:pPr>
      <w:r>
        <w:drawing>
          <wp:inline>
            <wp:extent cx="5334000" cy="4267200"/>
            <wp:effectExtent b="0" l="0" r="0" t="0"/>
            <wp:docPr descr="" title="" id="26" name="Picture"/>
            <a:graphic>
              <a:graphicData uri="http://schemas.openxmlformats.org/drawingml/2006/picture">
                <pic:pic>
                  <pic:nvPicPr>
                    <pic:cNvPr descr="RR_files/figure-docx/unnamed-chunk-2-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bookmarkEnd w:id="28"/>
    <w:bookmarkStart w:id="29" w:name="review-of-viewership"/>
    <w:p>
      <w:pPr>
        <w:pStyle w:val="Heading3"/>
      </w:pPr>
      <w:r>
        <w:rPr>
          <w:bCs/>
          <w:b/>
        </w:rPr>
        <w:t xml:space="preserve">Review of Viewership</w:t>
      </w:r>
    </w:p>
    <w:p>
      <w:pPr>
        <w:pStyle w:val="FirstParagraph"/>
      </w:pPr>
      <w:r>
        <w:t xml:space="preserve">From the graph above, we can see a constant increase in viewership after each season. Between when the first season was aired in 2011 and when the last season was aired in 2019, there has been a percentage increase of 375.4%. Some interesting insight shows that the percentage change in viewings between 2011 and 2012 is the highest among all the years, indicating a significant increase in viewership in that year. Which shows that after people realized how nice the series was, more people got interested and decided to be a part of it. Meanwhile, the percentage change in viewings between 2014 and 2015 is the lowest, suggesting nothing major really happened in season 4. The overall trend shows an increase in viewings over time, with some fluctuations in growth rate.</w:t>
      </w:r>
    </w:p>
    <w:bookmarkEnd w:id="29"/>
    <w:bookmarkStart w:id="30" w:name="conclusion"/>
    <w:p>
      <w:pPr>
        <w:pStyle w:val="Heading3"/>
      </w:pPr>
      <w:r>
        <w:rPr>
          <w:bCs/>
          <w:b/>
        </w:rPr>
        <w:t xml:space="preserve">Conclusion</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5" Target="media/rId25.png" /><Relationship Type="http://schemas.openxmlformats.org/officeDocument/2006/relationships/hyperlink" Id="rId23" Target="https://en.wikipedia.org/wiki/File:Game_of_Thrones_title_card.jpg" TargetMode="External" /></Relationships>
</file>

<file path=word/_rels/footnotes.xml.rels><?xml version="1.0" encoding="UTF-8"?><Relationships xmlns="http://schemas.openxmlformats.org/package/2006/relationships"><Relationship Type="http://schemas.openxmlformats.org/officeDocument/2006/relationships/hyperlink" Id="rId23" Target="https://en.wikipedia.org/wiki/File:Game_of_Thrones_title_card.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Quarto Assignment 1</dc:title>
  <dc:creator>Anjolaoluwa Olatunbosun</dc:creator>
  <cp:keywords/>
  <dcterms:created xsi:type="dcterms:W3CDTF">2023-04-24T17:05:27Z</dcterms:created>
  <dcterms:modified xsi:type="dcterms:W3CDTF">2023-04-24T17:05:27Z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4/12/23</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