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94.png" ContentType="image/png"/>
  <Override PartName="/word/media/rId95.png" ContentType="image/png"/>
  <Override PartName="/word/media/rId96.png" ContentType="image/png"/>
  <Override PartName="/word/media/rId97.png" ContentType="image/png"/>
  <Override PartName="/word/media/rId68.png" ContentType="image/png"/>
  <Override PartName="/word/media/rId84.png" ContentType="image/png"/>
  <Override PartName="/word/media/rId98.png" ContentType="image/png"/>
  <Override PartName="/word/media/rId99.png" ContentType="image/png"/>
  <Override PartName="/word/media/rId50.png" ContentType="image/png"/>
  <Override PartName="/word/media/rId51.png" ContentType="image/png"/>
  <Override PartName="/word/media/rId52.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0.png" ContentType="image/png"/>
  <Override PartName="/word/media/rId65.png" ContentType="image/png"/>
  <Override PartName="/word/media/rId66.png" ContentType="image/png"/>
  <Override PartName="/word/media/rId67.png" ContentType="image/png"/>
  <Override PartName="/word/media/rId46.png" ContentType="image/png"/>
  <Override PartName="/word/media/rId47.png" ContentType="image/png"/>
  <Override PartName="/word/media/rId48.png" ContentType="image/png"/>
  <Override PartName="/word/media/rId49.png" ContentType="image/png"/>
  <Override PartName="/word/media/rId31.png" ContentType="image/png"/>
  <Override PartName="/word/media/rId29.png" ContentType="image/png"/>
  <Override PartName="/word/media/rId90.png" ContentType="image/png"/>
  <Override PartName="/word/media/rId58.png" ContentType="image/png"/>
  <Override PartName="/word/media/rId88.png" ContentType="image/png"/>
  <Override PartName="/word/media/rId60.png" ContentType="image/png"/>
  <Override PartName="/word/media/rId61.png" ContentType="image/png"/>
  <Override PartName="/word/media/rId76.png" ContentType="image/png"/>
  <Override PartName="/word/media/rId92.png" ContentType="image/png"/>
  <Override PartName="/word/media/rId63.png" ContentType="image/png"/>
  <Override PartName="/word/media/rId44.png" ContentType="image/png"/>
  <Override PartName="/word/media/rId72.png" ContentType="image/png"/>
  <Override PartName="/word/media/rId74.png" ContentType="image/png"/>
  <Override PartName="/word/media/rId56.png" ContentType="image/png"/>
  <Override PartName="/word/media/rId42.png" ContentType="image/png"/>
  <Override PartName="/word/media/rId102.png" ContentType="image/png"/>
  <Override PartName="/word/media/rId36.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Date"/>
      </w:pPr>
      <w:r>
        <w:t xml:space="preserve">4</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 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158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(48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Heading4"/>
      </w:pPr>
      <w:bookmarkStart w:id="26" w:name="age"/>
      <w:bookmarkEnd w:id="26"/>
      <w:r>
        <w:t xml:space="preserve">Age</w:t>
      </w:r>
    </w:p>
    <w:p>
      <w:pPr>
        <w:pStyle w:val="FirstParagraph"/>
      </w:pPr>
      <w:r>
        <w:t xml:space="preserve">Participant ages ranged from 12 to 91, with a median value of 42.</w:t>
      </w:r>
    </w:p>
    <w:p>
      <w:pPr>
        <w:pStyle w:val="BodyText"/>
      </w:pPr>
      <w:r>
        <w:rPr>
          <w:i/>
        </w:rPr>
        <w:t xml:space="preserve">Figure 1</w:t>
      </w:r>
      <w:r>
        <w:t xml:space="preserve"> </w:t>
      </w:r>
      <w:r>
        <w:t xml:space="preserve">provides more detailed age demographics:</w:t>
      </w:r>
    </w:p>
    <w:p>
      <w:pPr>
        <w:pStyle w:val="BodyText"/>
      </w:pPr>
      <w:r>
        <w:drawing>
          <wp:inline>
            <wp:extent cx="4610100" cy="36957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1: Age Frequency</w:t>
      </w:r>
    </w:p>
    <w:p>
      <w:pPr>
        <w:pStyle w:val="BodyText"/>
      </w:pPr>
      <w:r>
        <w:t xml:space="preserve">These show participants' ages correspond approximately to Australia's adult demographic. 89.8% of participants were aged 35-54.</w:t>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show in Figure 2:</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2: Gender Frequency</w:t>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 *Figure 3:</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3: Age &amp; Gender Frequency</w:t>
      </w:r>
    </w:p>
    <w:p>
      <w:pPr>
        <w:pStyle w:val="BodyText"/>
      </w:pPr>
      <w:r>
        <w:t xml:space="preserve">These figures approximate to Australia's adult age distribution, as reported by the ABS in 2014 in</w:t>
      </w:r>
      <w:r>
        <w:t xml:space="preserve"> </w:t>
      </w:r>
      <w:r>
        <w:rPr>
          <w:b/>
        </w:rPr>
        <w:t xml:space="preserve">Figure 4</w:t>
      </w:r>
      <w:r>
        <w:t xml:space="preserve"> </w:t>
      </w:r>
      <w:r>
        <w:t xml:space="preserve">below, though with a considerably higher skew towards younger women and older men.</w:t>
      </w:r>
    </w:p>
    <w:p>
      <w:pPr>
        <w:pStyle w:val="BodyText"/>
      </w:pPr>
      <w:r>
        <w:drawing>
          <wp:inline>
            <wp:extent cx="5334000" cy="4157681"/>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1"/>
                    </a:xfrm>
                    <a:prstGeom prst="rect">
                      <a:avLst/>
                    </a:prstGeom>
                    <a:noFill/>
                    <a:ln w="9525">
                      <a:noFill/>
                      <a:headEnd/>
                      <a:tailEnd/>
                    </a:ln>
                  </pic:spPr>
                </pic:pic>
              </a:graphicData>
            </a:graphic>
          </wp:inline>
        </w:drawing>
      </w:r>
    </w:p>
    <w:p>
      <w:pPr>
        <w:pStyle w:val="BodyText"/>
      </w:pPr>
      <w:r>
        <w:rPr>
          <w:b/>
        </w:rPr>
        <w:t xml:space="preserve">Figure 4: Australia's Age &amp; Gender Frequency (ABS 2014)</w:t>
      </w:r>
    </w:p>
    <w:p>
      <w:pPr>
        <w:pStyle w:val="Heading4"/>
      </w:pPr>
      <w:bookmarkStart w:id="35" w:name="state-and-location"/>
      <w:bookmarkEnd w:id="35"/>
      <w:r>
        <w:t xml:space="preserve">State and Location</w:t>
      </w:r>
    </w:p>
    <w:p>
      <w:pPr>
        <w:pStyle w:val="FirstParagraph"/>
      </w:pPr>
      <w:r>
        <w:t xml:space="preserve">Survey distribution by state broadly follows Australia's demographic distribution.</w:t>
      </w:r>
    </w:p>
    <w:p>
      <w:pPr>
        <w:pStyle w:val="BodyText"/>
      </w:pPr>
      <w:r>
        <w:t xml:space="preserve">The split of participants between urban and regional/rural is as follows:</w:t>
      </w:r>
    </w:p>
    <w:p>
      <w:pPr>
        <w:pStyle w:val="BodyText"/>
      </w:pPr>
      <w:r>
        <w:drawing>
          <wp:inline>
            <wp:extent cx="4610100" cy="36957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percentage of reported urban residents here is 64.3 - considerably less than</w:t>
      </w:r>
      <w:r>
        <w:t xml:space="preserve"> </w:t>
      </w:r>
      <w:hyperlink r:id="rId37">
        <w:r>
          <w:rPr>
            <w:rStyle w:val="Hyperlink"/>
          </w:rPr>
          <w:t xml:space="preserve">World Bank figures of 89%</w:t>
        </w:r>
      </w:hyperlink>
      <w:r>
        <w:t xml:space="preserve">.</w:t>
      </w:r>
    </w:p>
    <w:p>
      <w:pPr>
        <w:pStyle w:val="Heading2"/>
      </w:pPr>
      <w:bookmarkStart w:id="38" w:name="results-by-critical-issue---aggregated"/>
      <w:bookmarkEnd w:id="38"/>
      <w:r>
        <w:t xml:space="preserve">Results by Critical Issue - Aggregated</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general-results"/>
      <w:bookmarkEnd w:id="40"/>
      <w:r>
        <w:t xml:space="preserve">General Results</w:t>
      </w:r>
    </w:p>
    <w:p>
      <w:pPr>
        <w:pStyle w:val="Heading5"/>
      </w:pPr>
      <w:bookmarkStart w:id="41" w:name="frequency-of-online-activity"/>
      <w:bookmarkEnd w:id="41"/>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BodyText"/>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6332979"/>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2"/>
                    <a:stretch>
                      <a:fillRect/>
                    </a:stretch>
                  </pic:blipFill>
                  <pic:spPr bwMode="auto">
                    <a:xfrm>
                      <a:off x="0" y="0"/>
                      <a:ext cx="5334000" cy="6332979"/>
                    </a:xfrm>
                    <a:prstGeom prst="rect">
                      <a:avLst/>
                    </a:prstGeom>
                    <a:noFill/>
                    <a:ln w="9525">
                      <a:noFill/>
                      <a:headEnd/>
                      <a:tailEnd/>
                    </a:ln>
                  </pic:spPr>
                </pic:pic>
              </a:graphicData>
            </a:graphic>
          </wp:inline>
        </w:drawing>
      </w:r>
    </w:p>
    <w:p>
      <w:pPr>
        <w:pStyle w:val="Heading5"/>
      </w:pPr>
      <w:bookmarkStart w:id="43" w:name="perceived-ease-of-conducting-online-activity"/>
      <w:bookmarkEnd w:id="43"/>
      <w:r>
        <w:t xml:space="preserve">Perceived ease of conducting online activity</w:t>
      </w:r>
    </w:p>
    <w:p>
      <w:pPr>
        <w:pStyle w:val="FirstParagraph"/>
      </w:pPr>
      <w:r>
        <w:t xml:space="preserve">[Introductory Text]</w:t>
      </w:r>
    </w:p>
    <w:p>
      <w:pPr>
        <w:pStyle w:val="BodyText"/>
      </w:pPr>
      <w:r>
        <w:drawing>
          <wp:inline>
            <wp:extent cx="5334000" cy="10328897"/>
            <wp:effectExtent b="0" l="0" r="0" t="0"/>
            <wp:docPr descr="" id="1" name="Picture"/>
            <a:graphic>
              <a:graphicData uri="http://schemas.openxmlformats.org/drawingml/2006/picture">
                <pic:pic>
                  <pic:nvPicPr>
                    <pic:cNvPr descr="DCI_files/figure-docx/graphSubQuestion431-1.png" id="0" name="Picture"/>
                    <pic:cNvPicPr>
                      <a:picLocks noChangeArrowheads="1" noChangeAspect="1"/>
                    </pic:cNvPicPr>
                  </pic:nvPicPr>
                  <pic:blipFill>
                    <a:blip r:embed="rId44"/>
                    <a:stretch>
                      <a:fillRect/>
                    </a:stretch>
                  </pic:blipFill>
                  <pic:spPr bwMode="auto">
                    <a:xfrm>
                      <a:off x="0" y="0"/>
                      <a:ext cx="5334000" cy="10328897"/>
                    </a:xfrm>
                    <a:prstGeom prst="rect">
                      <a:avLst/>
                    </a:prstGeom>
                    <a:noFill/>
                    <a:ln w="9525">
                      <a:noFill/>
                      <a:headEnd/>
                      <a:tailEnd/>
                    </a:ln>
                  </pic:spPr>
                </pic:pic>
              </a:graphicData>
            </a:graphic>
          </wp:inline>
        </w:drawing>
      </w:r>
    </w:p>
    <w:p>
      <w:pPr>
        <w:pStyle w:val="Heading4"/>
      </w:pPr>
      <w:bookmarkStart w:id="45" w:name="results-by-age"/>
      <w:bookmarkEnd w:id="45"/>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74_2-1.png" id="0" name="Picture"/>
                    <pic:cNvPicPr>
                      <a:picLocks noChangeArrowheads="1" noChangeAspect="1"/>
                    </pic:cNvPicPr>
                  </pic:nvPicPr>
                  <pic:blipFill>
                    <a:blip r:embed="rId46"/>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3-1.png" id="0" name="Picture"/>
                    <pic:cNvPicPr>
                      <a:picLocks noChangeArrowheads="1" noChangeAspect="1"/>
                    </pic:cNvPicPr>
                  </pic:nvPicPr>
                  <pic:blipFill>
                    <a:blip r:embed="rId47"/>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5-1.png" id="0" name="Picture"/>
                    <pic:cNvPicPr>
                      <a:picLocks noChangeArrowheads="1" noChangeAspect="1"/>
                    </pic:cNvPicPr>
                  </pic:nvPicPr>
                  <pic:blipFill>
                    <a:blip r:embed="rId4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6-1.png" id="0" name="Picture"/>
                    <pic:cNvPicPr>
                      <a:picLocks noChangeArrowheads="1" noChangeAspect="1"/>
                    </pic:cNvPicPr>
                  </pic:nvPicPr>
                  <pic:blipFill>
                    <a:blip r:embed="rId4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17-1.png" id="0" name="Picture"/>
                    <pic:cNvPicPr>
                      <a:picLocks noChangeArrowheads="1" noChangeAspect="1"/>
                    </pic:cNvPicPr>
                  </pic:nvPicPr>
                  <pic:blipFill>
                    <a:blip r:embed="rId50"/>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29-1.png" id="0" name="Picture"/>
                    <pic:cNvPicPr>
                      <a:picLocks noChangeArrowheads="1" noChangeAspect="1"/>
                    </pic:cNvPicPr>
                  </pic:nvPicPr>
                  <pic:blipFill>
                    <a:blip r:embed="rId51"/>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34-1.png" id="0" name="Picture"/>
                    <pic:cNvPicPr>
                      <a:picLocks noChangeArrowheads="1" noChangeAspect="1"/>
                    </pic:cNvPicPr>
                  </pic:nvPicPr>
                  <pic:blipFill>
                    <a:blip r:embed="rId52"/>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53" w:name="interests"/>
      <w:bookmarkEnd w:id="53"/>
      <w:r>
        <w:t xml:space="preserve">Interests</w:t>
      </w:r>
    </w:p>
    <w:p>
      <w:pPr>
        <w:pStyle w:val="FirstParagraph"/>
      </w:pPr>
      <w:r>
        <w:t xml:space="preserve">[Overview of Critical Issue]</w:t>
      </w:r>
    </w:p>
    <w:p>
      <w:pPr>
        <w:pStyle w:val="Heading4"/>
      </w:pPr>
      <w:bookmarkStart w:id="54" w:name="general-results-1"/>
      <w:bookmarkEnd w:id="54"/>
      <w:r>
        <w:t xml:space="preserve">General Results</w:t>
      </w:r>
    </w:p>
    <w:p>
      <w:pPr>
        <w:pStyle w:val="Heading5"/>
      </w:pPr>
      <w:bookmarkStart w:id="55" w:name="general-interests"/>
      <w:bookmarkEnd w:id="55"/>
      <w:r>
        <w:t xml:space="preserve">General Interests</w:t>
      </w:r>
    </w:p>
    <w:p>
      <w:pPr>
        <w:pStyle w:val="FirstParagraph"/>
      </w:pPr>
      <w:r>
        <w:t xml:space="preserve">[Introductory Text]</w:t>
      </w:r>
    </w:p>
    <w:p>
      <w:pPr>
        <w:pStyle w:val="BodyText"/>
      </w:pPr>
      <w:r>
        <w:drawing>
          <wp:inline>
            <wp:extent cx="5334000" cy="4994897"/>
            <wp:effectExtent b="0" l="0" r="0" t="0"/>
            <wp:docPr descr="" id="1" name="Picture"/>
            <a:graphic>
              <a:graphicData uri="http://schemas.openxmlformats.org/drawingml/2006/picture">
                <pic:pic>
                  <pic:nvPicPr>
                    <pic:cNvPr descr="DCI_files/figure-docx/graphSubQuestion437-1.png" id="0" name="Picture"/>
                    <pic:cNvPicPr>
                      <a:picLocks noChangeArrowheads="1" noChangeAspect="1"/>
                    </pic:cNvPicPr>
                  </pic:nvPicPr>
                  <pic:blipFill>
                    <a:blip r:embed="rId56"/>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5"/>
      </w:pPr>
      <w:bookmarkStart w:id="57" w:name="interest-in-seeking-difference"/>
      <w:bookmarkEnd w:id="57"/>
      <w:r>
        <w:t xml:space="preserve">Interest in seeking difference</w:t>
      </w:r>
    </w:p>
    <w:p>
      <w:pPr>
        <w:pStyle w:val="FirstParagraph"/>
      </w:pPr>
      <w:r>
        <w:drawing>
          <wp:inline>
            <wp:extent cx="5334000" cy="3665979"/>
            <wp:effectExtent b="0" l="0" r="0" t="0"/>
            <wp:docPr descr="" id="1" name="Picture"/>
            <a:graphic>
              <a:graphicData uri="http://schemas.openxmlformats.org/drawingml/2006/picture">
                <pic:pic>
                  <pic:nvPicPr>
                    <pic:cNvPr descr="DCI_files/figure-docx/graphSubQuestion341-1.png" id="0" name="Picture"/>
                    <pic:cNvPicPr>
                      <a:picLocks noChangeArrowheads="1" noChangeAspect="1"/>
                    </pic:cNvPicPr>
                  </pic:nvPicPr>
                  <pic:blipFill>
                    <a:blip r:embed="rId58"/>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5"/>
      </w:pPr>
      <w:bookmarkStart w:id="59" w:name="interest-in-fitness-and-health-improvement"/>
      <w:bookmarkEnd w:id="59"/>
      <w:r>
        <w:t xml:space="preserve">Interest in fitness and health improvement</w:t>
      </w:r>
    </w:p>
    <w:p>
      <w:pPr>
        <w:pStyle w:val="FirstParagraph"/>
      </w:pPr>
      <w:r>
        <w:drawing>
          <wp:inline>
            <wp:extent cx="5334000" cy="4664959"/>
            <wp:effectExtent b="0" l="0" r="0" t="0"/>
            <wp:docPr descr="" id="1" name="Picture"/>
            <a:graphic>
              <a:graphicData uri="http://schemas.openxmlformats.org/drawingml/2006/picture">
                <pic:pic>
                  <pic:nvPicPr>
                    <pic:cNvPr descr="DCI_files/figure-docx/graphSubQuestion352-1.png" id="0" name="Picture"/>
                    <pic:cNvPicPr>
                      <a:picLocks noChangeArrowheads="1" noChangeAspect="1"/>
                    </pic:cNvPicPr>
                  </pic:nvPicPr>
                  <pic:blipFill>
                    <a:blip r:embed="rId60"/>
                    <a:stretch>
                      <a:fillRect/>
                    </a:stretch>
                  </pic:blipFill>
                  <pic:spPr bwMode="auto">
                    <a:xfrm>
                      <a:off x="0" y="0"/>
                      <a:ext cx="5334000" cy="4664959"/>
                    </a:xfrm>
                    <a:prstGeom prst="rect">
                      <a:avLst/>
                    </a:prstGeom>
                    <a:noFill/>
                    <a:ln w="9525">
                      <a:noFill/>
                      <a:headEnd/>
                      <a:tailEnd/>
                    </a:ln>
                  </pic:spPr>
                </pic:pic>
              </a:graphicData>
            </a:graphic>
          </wp:inline>
        </w:drawing>
      </w:r>
    </w:p>
    <w:p>
      <w:pPr>
        <w:pStyle w:val="BodyText"/>
      </w:pPr>
      <w:r>
        <w:drawing>
          <wp:inline>
            <wp:extent cx="5334000" cy="2492866"/>
            <wp:effectExtent b="0" l="0" r="0" t="0"/>
            <wp:docPr descr="" id="1" name="Picture"/>
            <a:graphic>
              <a:graphicData uri="http://schemas.openxmlformats.org/drawingml/2006/picture">
                <pic:pic>
                  <pic:nvPicPr>
                    <pic:cNvPr descr="DCI_files/figure-docx/graphSubQuestion353-1.png" id="0" name="Picture"/>
                    <pic:cNvPicPr>
                      <a:picLocks noChangeArrowheads="1" noChangeAspect="1"/>
                    </pic:cNvPicPr>
                  </pic:nvPicPr>
                  <pic:blipFill>
                    <a:blip r:embed="rId61"/>
                    <a:stretch>
                      <a:fillRect/>
                    </a:stretch>
                  </pic:blipFill>
                  <pic:spPr bwMode="auto">
                    <a:xfrm>
                      <a:off x="0" y="0"/>
                      <a:ext cx="5334000" cy="2492866"/>
                    </a:xfrm>
                    <a:prstGeom prst="rect">
                      <a:avLst/>
                    </a:prstGeom>
                    <a:noFill/>
                    <a:ln w="9525">
                      <a:noFill/>
                      <a:headEnd/>
                      <a:tailEnd/>
                    </a:ln>
                  </pic:spPr>
                </pic:pic>
              </a:graphicData>
            </a:graphic>
          </wp:inline>
        </w:drawing>
      </w:r>
    </w:p>
    <w:p>
      <w:pPr>
        <w:pStyle w:val="Heading5"/>
      </w:pPr>
      <w:bookmarkStart w:id="62" w:name="interest-in-keeping-in-touch"/>
      <w:bookmarkEnd w:id="62"/>
      <w:r>
        <w:t xml:space="preserve">Interest in keeping in touch</w:t>
      </w:r>
    </w:p>
    <w:p>
      <w:pPr>
        <w:pStyle w:val="FirstParagraph"/>
      </w:pPr>
      <w:r>
        <w:drawing>
          <wp:inline>
            <wp:extent cx="5334000" cy="4994897"/>
            <wp:effectExtent b="0" l="0" r="0" t="0"/>
            <wp:docPr descr="" id="1" name="Picture"/>
            <a:graphic>
              <a:graphicData uri="http://schemas.openxmlformats.org/drawingml/2006/picture">
                <pic:pic>
                  <pic:nvPicPr>
                    <pic:cNvPr descr="DCI_files/figure-docx/graphSubQuestion430-1.png" id="0" name="Picture"/>
                    <pic:cNvPicPr>
                      <a:picLocks noChangeArrowheads="1" noChangeAspect="1"/>
                    </pic:cNvPicPr>
                  </pic:nvPicPr>
                  <pic:blipFill>
                    <a:blip r:embed="rId63"/>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4"/>
      </w:pPr>
      <w:bookmarkStart w:id="64" w:name="results-by-age-1"/>
      <w:bookmarkEnd w:id="64"/>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437_43-1.png" id="0" name="Picture"/>
                    <pic:cNvPicPr>
                      <a:picLocks noChangeArrowheads="1" noChangeAspect="1"/>
                    </pic:cNvPicPr>
                  </pic:nvPicPr>
                  <pic:blipFill>
                    <a:blip r:embed="rId65"/>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437_49-1.png" id="0" name="Picture"/>
                    <pic:cNvPicPr>
                      <a:picLocks noChangeArrowheads="1" noChangeAspect="1"/>
                    </pic:cNvPicPr>
                  </pic:nvPicPr>
                  <pic:blipFill>
                    <a:blip r:embed="rId66"/>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437_50-1.png" id="0" name="Picture"/>
                    <pic:cNvPicPr>
                      <a:picLocks noChangeArrowheads="1" noChangeAspect="1"/>
                    </pic:cNvPicPr>
                  </pic:nvPicPr>
                  <pic:blipFill>
                    <a:blip r:embed="rId67"/>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352_62-1.png" id="0" name="Picture"/>
                    <pic:cNvPicPr>
                      <a:picLocks noChangeArrowheads="1" noChangeAspect="1"/>
                    </pic:cNvPicPr>
                  </pic:nvPicPr>
                  <pic:blipFill>
                    <a:blip r:embed="rId68"/>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69" w:name="resilience"/>
      <w:bookmarkEnd w:id="69"/>
      <w:r>
        <w:t xml:space="preserve">Resilience</w:t>
      </w:r>
    </w:p>
    <w:p>
      <w:pPr>
        <w:pStyle w:val="FirstParagraph"/>
      </w:pPr>
      <w:r>
        <w:t xml:space="preserve">Our survey asked participants to respond to three questions about potential risks and harms of online activity, and how they prepare themselves for dealing with them.</w:t>
      </w:r>
    </w:p>
    <w:p>
      <w:pPr>
        <w:pStyle w:val="Compact"/>
        <w:numPr>
          <w:numId w:val="1003"/>
          <w:ilvl w:val="0"/>
        </w:numPr>
      </w:pPr>
      <w:r>
        <w:t xml:space="preserve">Experience of potential risks and harms of online activity in the last 12 months</w:t>
      </w:r>
    </w:p>
    <w:p>
      <w:pPr>
        <w:pStyle w:val="Compact"/>
        <w:numPr>
          <w:numId w:val="1003"/>
          <w:ilvl w:val="0"/>
        </w:numPr>
      </w:pPr>
      <w:r>
        <w:t xml:space="preserve">Level of agreement with statements about potential risks and harms</w:t>
      </w:r>
    </w:p>
    <w:p>
      <w:pPr>
        <w:pStyle w:val="Compact"/>
        <w:numPr>
          <w:numId w:val="1003"/>
          <w:ilvl w:val="0"/>
        </w:numPr>
      </w:pPr>
      <w:r>
        <w:t xml:space="preserve">Level of agreement with statements about engaging with others online</w:t>
      </w:r>
    </w:p>
    <w:p>
      <w:pPr>
        <w:pStyle w:val="Heading4"/>
      </w:pPr>
      <w:bookmarkStart w:id="70" w:name="general-results-2"/>
      <w:bookmarkEnd w:id="70"/>
      <w:r>
        <w:t xml:space="preserve">General Results</w:t>
      </w:r>
    </w:p>
    <w:p>
      <w:pPr>
        <w:pStyle w:val="Heading5"/>
      </w:pPr>
      <w:bookmarkStart w:id="71" w:name="frequency-of-harmful-events"/>
      <w:bookmarkEnd w:id="71"/>
      <w:r>
        <w:t xml:space="preserve">Frequency of harmful events</w:t>
      </w:r>
    </w:p>
    <w:p>
      <w:pPr>
        <w:pStyle w:val="FirstParagraph"/>
      </w:pPr>
      <w:r>
        <w:rPr>
          <w:i/>
        </w:rPr>
        <w:t xml:space="preserve">Frequency of harmful events</w:t>
      </w:r>
      <w:r>
        <w:t xml:space="preserve"> </w:t>
      </w:r>
      <w:r>
        <w:t xml:space="preserve">measures frequency of 11 risks of online activity. These include getting a virus on one's device or seeing upsetting content online, or actions taken as a protection measure against those risks, such as reporting an issue online, deleting data or blocking further contacts from an individual.</w:t>
      </w:r>
    </w:p>
    <w:p>
      <w:pPr>
        <w:pStyle w:val="BodyText"/>
      </w:pPr>
      <w:r>
        <w:rPr>
          <w:b/>
        </w:rPr>
        <w:t xml:space="preserve">The graph below shows the relative frequencies of experiencing a risk, or taking a specific action in response to a risk, in the last 12 months.</w:t>
      </w:r>
      <w:r>
        <w:rPr>
          <w:b/>
        </w:rPr>
        <w:t xml:space="preserve"> </w:t>
      </w:r>
    </w:p>
    <w:p>
      <w:pPr>
        <w:pStyle w:val="BodyText"/>
      </w:pPr>
      <w:r>
        <w:t xml:space="preserve">A large proportion of respondents (Enter value here) reported having never experienced these risks or potentially harmful events. The event that was most commonly experienced was 'Seeing or experiencing something on the internet that had bothered them in some way' with Enter value here 50+% [exact %?] of respondents experiencing this at least once in the last 12 months and Enter value here reporting experiencing this on a weekly basis or more often.</w:t>
      </w:r>
    </w:p>
    <w:p>
      <w:pPr>
        <w:pStyle w:val="BodyText"/>
      </w:pPr>
      <w:r>
        <w:t xml:space="preserve">Half of respondents reported taking protective measures, such as blocking further contacts from an individual or deleting data in response to security and privacy concerns, at least once in the last 12 months.</w:t>
      </w:r>
    </w:p>
    <w:p>
      <w:pPr>
        <w:pStyle w:val="BodyText"/>
      </w:pPr>
      <w:r>
        <w:t xml:space="preserve">Although respondents reported experiencing potentially harmful events online, the frequency of such events remains generally low. The most frequently reported action in response to online risks is to use extra security measures to protect privacy.</w:t>
      </w:r>
    </w:p>
    <w:p>
      <w:pPr>
        <w:pStyle w:val="BodyText"/>
      </w:pPr>
      <w:r>
        <w:drawing>
          <wp:inline>
            <wp:extent cx="5334000" cy="5334000"/>
            <wp:effectExtent b="0" l="0" r="0" t="0"/>
            <wp:docPr descr="" id="1" name="Picture"/>
            <a:graphic>
              <a:graphicData uri="http://schemas.openxmlformats.org/drawingml/2006/picture">
                <pic:pic>
                  <pic:nvPicPr>
                    <pic:cNvPr descr="DCI_files/figure-docx/graphSubQuestion434-1.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73" w:name="responses-to-statements-about-online-harms"/>
      <w:bookmarkEnd w:id="73"/>
      <w:r>
        <w:t xml:space="preserve">Responses to statements about online harms</w:t>
      </w:r>
    </w:p>
    <w:p>
      <w:pPr>
        <w:pStyle w:val="FirstParagraph"/>
      </w:pPr>
      <w:r>
        <w:t xml:space="preserve">The graph below shows the level of agreement with a number of statements relating to online harms.</w:t>
      </w:r>
    </w:p>
    <w:p>
      <w:pPr>
        <w:pStyle w:val="BodyText"/>
      </w:pPr>
      <w:r>
        <w:t xml:space="preserve">Despite reporting having experienced some potentially harmful events in the last 12 months, the level of agreement with statements about online harms of a more general nature show an overall positive attitude towards those risks. The majority of respondents agree or strongly agree that the opportunities of online activities outweigh its risks and that some level of online risk is inevitable but also provides an important learning opportunity.</w:t>
      </w:r>
    </w:p>
    <w:p>
      <w:pPr>
        <w:pStyle w:val="BodyText"/>
      </w:pPr>
      <w:r>
        <w:t xml:space="preserve">Online security and safety remains a pressing concern for just over a third of respondents but there appears to be both an increased level of acceptance and the development of coping mechanisms to better manage the risks.</w:t>
      </w:r>
    </w:p>
    <w:p>
      <w:pPr>
        <w:pStyle w:val="BodyText"/>
      </w:pPr>
      <w:r>
        <w:drawing>
          <wp:inline>
            <wp:extent cx="5334000" cy="3665979"/>
            <wp:effectExtent b="0" l="0" r="0" t="0"/>
            <wp:docPr descr="" id="1" name="Picture"/>
            <a:graphic>
              <a:graphicData uri="http://schemas.openxmlformats.org/drawingml/2006/picture">
                <pic:pic>
                  <pic:nvPicPr>
                    <pic:cNvPr descr="DCI_files/figure-docx/graphSubQuestion435-1.png" id="0" name="Picture"/>
                    <pic:cNvPicPr>
                      <a:picLocks noChangeArrowheads="1" noChangeAspect="1"/>
                    </pic:cNvPicPr>
                  </pic:nvPicPr>
                  <pic:blipFill>
                    <a:blip r:embed="rId74"/>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5"/>
      </w:pPr>
      <w:bookmarkStart w:id="75" w:name="willingness-to-engage-with-others"/>
      <w:bookmarkEnd w:id="75"/>
      <w:r>
        <w:t xml:space="preserve">Willingness to engage with others</w:t>
      </w:r>
    </w:p>
    <w:p>
      <w:pPr>
        <w:pStyle w:val="FirstParagraph"/>
      </w:pPr>
      <w:r>
        <w:t xml:space="preserve">Thinking about how they feel when they engage with others online, respondents were asked to what extent they agree with several statements relating to their willingness to engage with others.</w:t>
      </w:r>
    </w:p>
    <w:p>
      <w:pPr>
        <w:pStyle w:val="BodyText"/>
      </w:pPr>
      <w:r>
        <w:t xml:space="preserve">For each statements, a large proportion of respondents neither agree nor disagree. People tend to disagree that it is easier to be oneself online than face to face or that they talk about private things online that they do not share face to face. Similar proportions agree or disagree that going online make them feel better when they are going through a difficult time.</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428-1.png" id="0" name="Picture"/>
                    <pic:cNvPicPr>
                      <a:picLocks noChangeArrowheads="1" noChangeAspect="1"/>
                    </pic:cNvPicPr>
                  </pic:nvPicPr>
                  <pic:blipFill>
                    <a:blip r:embed="rId76"/>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4"/>
      </w:pPr>
      <w:bookmarkStart w:id="77" w:name="results-by-age-2"/>
      <w:bookmarkEnd w:id="77"/>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434_91-1.png" id="0" name="Picture"/>
                    <pic:cNvPicPr>
                      <a:picLocks noChangeArrowheads="1" noChangeAspect="1"/>
                    </pic:cNvPicPr>
                  </pic:nvPicPr>
                  <pic:blipFill>
                    <a:blip r:embed="rId7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4_97-1.png" id="0" name="Picture"/>
                    <pic:cNvPicPr>
                      <a:picLocks noChangeArrowheads="1" noChangeAspect="1"/>
                    </pic:cNvPicPr>
                  </pic:nvPicPr>
                  <pic:blipFill>
                    <a:blip r:embed="rId7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99-1.png" id="0" name="Picture"/>
                    <pic:cNvPicPr>
                      <a:picLocks noChangeArrowheads="1" noChangeAspect="1"/>
                    </pic:cNvPicPr>
                  </pic:nvPicPr>
                  <pic:blipFill>
                    <a:blip r:embed="rId80"/>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3-1.png" id="0" name="Picture"/>
                    <pic:cNvPicPr>
                      <a:picLocks noChangeArrowheads="1" noChangeAspect="1"/>
                    </pic:cNvPicPr>
                  </pic:nvPicPr>
                  <pic:blipFill>
                    <a:blip r:embed="rId81"/>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4-1.png" id="0" name="Picture"/>
                    <pic:cNvPicPr>
                      <a:picLocks noChangeArrowheads="1" noChangeAspect="1"/>
                    </pic:cNvPicPr>
                  </pic:nvPicPr>
                  <pic:blipFill>
                    <a:blip r:embed="rId82"/>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5-1.png" id="0" name="Picture"/>
                    <pic:cNvPicPr>
                      <a:picLocks noChangeArrowheads="1" noChangeAspect="1"/>
                    </pic:cNvPicPr>
                  </pic:nvPicPr>
                  <pic:blipFill>
                    <a:blip r:embed="rId83"/>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8_107-1.png" id="0" name="Picture"/>
                    <pic:cNvPicPr>
                      <a:picLocks noChangeArrowheads="1" noChangeAspect="1"/>
                    </pic:cNvPicPr>
                  </pic:nvPicPr>
                  <pic:blipFill>
                    <a:blip r:embed="rId84"/>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85" w:name="social-connectedness"/>
      <w:bookmarkEnd w:id="85"/>
      <w:r>
        <w:t xml:space="preserve">Social Connectedness</w:t>
      </w:r>
    </w:p>
    <w:p>
      <w:pPr>
        <w:pStyle w:val="FirstParagraph"/>
      </w:pPr>
      <w:r>
        <w:t xml:space="preserve">Our survey asked participants to respond to questions about social connectedness and the role technology plays in their interactions with other people.</w:t>
      </w:r>
    </w:p>
    <w:p>
      <w:pPr>
        <w:pStyle w:val="Compact"/>
        <w:numPr>
          <w:numId w:val="1004"/>
          <w:ilvl w:val="0"/>
        </w:numPr>
      </w:pPr>
      <w:r>
        <w:t xml:space="preserve">Frequency of online activity to maintain connections</w:t>
      </w:r>
    </w:p>
    <w:p>
      <w:pPr>
        <w:pStyle w:val="Compact"/>
        <w:numPr>
          <w:numId w:val="1004"/>
          <w:ilvl w:val="0"/>
        </w:numPr>
      </w:pPr>
      <w:r>
        <w:t xml:space="preserve">Importance of online life to maintaining relationships</w:t>
      </w:r>
    </w:p>
    <w:p>
      <w:pPr>
        <w:pStyle w:val="Compact"/>
        <w:numPr>
          <w:numId w:val="1004"/>
          <w:ilvl w:val="0"/>
        </w:numPr>
      </w:pPr>
      <w:r>
        <w:t xml:space="preserve">Level of agreement with statements about broader issues concerning technology</w:t>
      </w:r>
    </w:p>
    <w:p>
      <w:pPr>
        <w:pStyle w:val="Heading5"/>
      </w:pPr>
      <w:bookmarkStart w:id="86" w:name="general-results-3"/>
      <w:bookmarkEnd w:id="86"/>
      <w:r>
        <w:t xml:space="preserve">General Results</w:t>
      </w:r>
    </w:p>
    <w:p>
      <w:pPr>
        <w:pStyle w:val="Heading5"/>
      </w:pPr>
      <w:bookmarkStart w:id="87" w:name="maintaining-connections"/>
      <w:bookmarkEnd w:id="87"/>
      <w:r>
        <w:t xml:space="preserve">Maintaining connections</w:t>
      </w:r>
    </w:p>
    <w:p>
      <w:pPr>
        <w:pStyle w:val="FirstParagraph"/>
      </w:pPr>
      <w:r>
        <w:t xml:space="preserve">This question measures frequency of 8 different online activities whose main purpose, or direct consequence, is to interact with others and/or to maintain connections.</w:t>
      </w:r>
    </w:p>
    <w:p>
      <w:pPr>
        <w:pStyle w:val="BodyText"/>
      </w:pPr>
      <w:r>
        <w:t xml:space="preserve">The graph below shows the relative frequencies of each activity. Reading updates from friends or family via email or social media is the most frequent and most commonly reported activity, followed by making comments on those updates. Making new friends, meeting people or looking at websites that help meet new people are less common. This suggests that online activity is primarily used to strengthen connection with offline networks rather than as a distinct circle of connections.</w:t>
      </w:r>
    </w:p>
    <w:p>
      <w:pPr>
        <w:pStyle w:val="BodyText"/>
      </w:pPr>
      <w:r>
        <w:drawing>
          <wp:inline>
            <wp:extent cx="5334000" cy="3995918"/>
            <wp:effectExtent b="0" l="0" r="0" t="0"/>
            <wp:docPr descr="" id="1" name="Picture"/>
            <a:graphic>
              <a:graphicData uri="http://schemas.openxmlformats.org/drawingml/2006/picture">
                <pic:pic>
                  <pic:nvPicPr>
                    <pic:cNvPr descr="DCI_files/figure-docx/graphSubQuestion343-1.png" id="0" name="Picture"/>
                    <pic:cNvPicPr>
                      <a:picLocks noChangeArrowheads="1" noChangeAspect="1"/>
                    </pic:cNvPicPr>
                  </pic:nvPicPr>
                  <pic:blipFill>
                    <a:blip r:embed="rId88"/>
                    <a:stretch>
                      <a:fillRect/>
                    </a:stretch>
                  </pic:blipFill>
                  <pic:spPr bwMode="auto">
                    <a:xfrm>
                      <a:off x="0" y="0"/>
                      <a:ext cx="5334000" cy="3995918"/>
                    </a:xfrm>
                    <a:prstGeom prst="rect">
                      <a:avLst/>
                    </a:prstGeom>
                    <a:noFill/>
                    <a:ln w="9525">
                      <a:noFill/>
                      <a:headEnd/>
                      <a:tailEnd/>
                    </a:ln>
                  </pic:spPr>
                </pic:pic>
              </a:graphicData>
            </a:graphic>
          </wp:inline>
        </w:drawing>
      </w:r>
    </w:p>
    <w:p>
      <w:pPr>
        <w:pStyle w:val="Heading5"/>
      </w:pPr>
      <w:bookmarkStart w:id="89" w:name="importance-of-online-life-in-maintaining-relationships"/>
      <w:bookmarkEnd w:id="89"/>
      <w:r>
        <w:t xml:space="preserve">Importance of online life in maintaining relationships</w:t>
      </w:r>
    </w:p>
    <w:p>
      <w:pPr>
        <w:pStyle w:val="FirstParagraph"/>
      </w:pPr>
      <w:r>
        <w:t xml:space="preserve">When asked how important online life is in maintaining relationships with various groups within a broader social network, friends and family were the two groups with the highest level of importance. Online is also considered important in maintaining relationships with other networks of interest and work or school peers, but comparatively not as important to maintain relationships with neighbours.</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287-1.png" id="0" name="Picture"/>
                    <pic:cNvPicPr>
                      <a:picLocks noChangeArrowheads="1" noChangeAspect="1"/>
                    </pic:cNvPicPr>
                  </pic:nvPicPr>
                  <pic:blipFill>
                    <a:blip r:embed="rId90"/>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5"/>
      </w:pPr>
      <w:bookmarkStart w:id="91" w:name="attitudes-towards-technology"/>
      <w:bookmarkEnd w:id="91"/>
      <w:r>
        <w:t xml:space="preserve">Attitudes towards Technology</w:t>
      </w:r>
    </w:p>
    <w:p>
      <w:pPr>
        <w:pStyle w:val="FirstParagraph"/>
      </w:pPr>
      <w:r>
        <w:t xml:space="preserve">The survey asked respondents to what extent they agree or disagree with a number of statements with regards to attitudes towards broader issues concerning technology.</w:t>
      </w:r>
    </w:p>
    <w:p>
      <w:pPr>
        <w:pStyle w:val="BodyText"/>
      </w:pPr>
      <w:r>
        <w:t xml:space="preserve">Similar to our findings on the more general statements about online risks and harms, the attitudes of respondents towards technology is especially positive with over 60% reporting being optimistic about the future of technology. Three quarters</w:t>
      </w:r>
      <w:r>
        <w:t xml:space="preserve"> </w:t>
      </w:r>
      <w:r>
        <w:rPr>
          <w:rStyle w:val="VerbatimChar"/>
        </w:rPr>
        <w:t xml:space="preserve">r</w:t>
      </w:r>
      <w:r>
        <w:t xml:space="preserve"> </w:t>
      </w:r>
      <w:r>
        <w:t xml:space="preserve">agree or strongly agree that technology is part of everyday life and half</w:t>
      </w:r>
      <w:r>
        <w:t xml:space="preserve"> </w:t>
      </w:r>
      <w:r>
        <w:rPr>
          <w:rStyle w:val="VerbatimChar"/>
        </w:rPr>
        <w:t xml:space="preserve">r</w:t>
      </w:r>
      <w:r>
        <w:t xml:space="preserve"> </w:t>
      </w:r>
      <w:r>
        <w:t xml:space="preserve">believe that technology can not only strengthen familial relationships but also foster social inclusion.</w:t>
      </w:r>
    </w:p>
    <w:p>
      <w:pPr>
        <w:pStyle w:val="BodyText"/>
      </w:pPr>
      <w:r>
        <w:t xml:space="preserve">The positive attitude is nevertheless counterbalanced with concerns about the use of online information by governments or companies, the impact on the environment or the growing divide between technology experts and the rest of society.</w:t>
      </w:r>
    </w:p>
    <w:p>
      <w:pPr>
        <w:pStyle w:val="BodyText"/>
      </w:pPr>
      <w:r>
        <w:drawing>
          <wp:inline>
            <wp:extent cx="5334000" cy="4325856"/>
            <wp:effectExtent b="0" l="0" r="0" t="0"/>
            <wp:docPr descr="" id="1" name="Picture"/>
            <a:graphic>
              <a:graphicData uri="http://schemas.openxmlformats.org/drawingml/2006/picture">
                <pic:pic>
                  <pic:nvPicPr>
                    <pic:cNvPr descr="DCI_files/figure-docx/graphSubQuestion429-1.png" id="0" name="Picture"/>
                    <pic:cNvPicPr>
                      <a:picLocks noChangeArrowheads="1" noChangeAspect="1"/>
                    </pic:cNvPicPr>
                  </pic:nvPicPr>
                  <pic:blipFill>
                    <a:blip r:embed="rId92"/>
                    <a:stretch>
                      <a:fillRect/>
                    </a:stretch>
                  </pic:blipFill>
                  <pic:spPr bwMode="auto">
                    <a:xfrm>
                      <a:off x="0" y="0"/>
                      <a:ext cx="5334000" cy="4325856"/>
                    </a:xfrm>
                    <a:prstGeom prst="rect">
                      <a:avLst/>
                    </a:prstGeom>
                    <a:noFill/>
                    <a:ln w="9525">
                      <a:noFill/>
                      <a:headEnd/>
                      <a:tailEnd/>
                    </a:ln>
                  </pic:spPr>
                </pic:pic>
              </a:graphicData>
            </a:graphic>
          </wp:inline>
        </w:drawing>
      </w:r>
    </w:p>
    <w:p>
      <w:pPr>
        <w:pStyle w:val="Heading4"/>
      </w:pPr>
      <w:bookmarkStart w:id="93" w:name="results-by-age-3"/>
      <w:bookmarkEnd w:id="93"/>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277_11-1.png" id="0" name="Picture"/>
                    <pic:cNvPicPr>
                      <a:picLocks noChangeArrowheads="1" noChangeAspect="1"/>
                    </pic:cNvPicPr>
                  </pic:nvPicPr>
                  <pic:blipFill>
                    <a:blip r:embed="rId94"/>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277_119-1.png" id="0" name="Picture"/>
                    <pic:cNvPicPr>
                      <a:picLocks noChangeArrowheads="1" noChangeAspect="1"/>
                    </pic:cNvPicPr>
                  </pic:nvPicPr>
                  <pic:blipFill>
                    <a:blip r:embed="rId95"/>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287_137-1.png" id="0" name="Picture"/>
                    <pic:cNvPicPr>
                      <a:picLocks noChangeArrowheads="1" noChangeAspect="1"/>
                    </pic:cNvPicPr>
                  </pic:nvPicPr>
                  <pic:blipFill>
                    <a:blip r:embed="rId96"/>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343_146-1.png" id="0" name="Picture"/>
                    <pic:cNvPicPr>
                      <a:picLocks noChangeArrowheads="1" noChangeAspect="1"/>
                    </pic:cNvPicPr>
                  </pic:nvPicPr>
                  <pic:blipFill>
                    <a:blip r:embed="rId97"/>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9_152-1.png" id="0" name="Picture"/>
                    <pic:cNvPicPr>
                      <a:picLocks noChangeArrowheads="1" noChangeAspect="1"/>
                    </pic:cNvPicPr>
                  </pic:nvPicPr>
                  <pic:blipFill>
                    <a:blip r:embed="rId9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9_155-1.png" id="0" name="Picture"/>
                    <pic:cNvPicPr>
                      <a:picLocks noChangeArrowheads="1" noChangeAspect="1"/>
                    </pic:cNvPicPr>
                  </pic:nvPicPr>
                  <pic:blipFill>
                    <a:blip r:embed="rId99"/>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2"/>
      </w:pPr>
      <w:bookmarkStart w:id="100" w:name="overall-results"/>
      <w:bookmarkEnd w:id="100"/>
      <w:r>
        <w:t xml:space="preserve">Overall results</w:t>
      </w:r>
    </w:p>
    <w:p>
      <w:pPr>
        <w:pStyle w:val="Heading3"/>
      </w:pPr>
      <w:bookmarkStart w:id="101" w:name="aggregates-by-critical-issue"/>
      <w:bookmarkEnd w:id="101"/>
      <w:r>
        <w:t xml:space="preserve">Aggregates by Critical Issue</w:t>
      </w:r>
    </w:p>
    <w:p>
      <w:pPr>
        <w:pStyle w:val="FirstParagraph"/>
      </w:pPr>
      <w:r>
        <w:t xml:space="preserve">To gain an overall picture of our results, we generated Figure 5: Aggregated Results by Critical Issue, which aggregates responses to each critical issue (</w:t>
      </w:r>
      <w:r>
        <w:rPr>
          <w:i/>
        </w:rPr>
        <w:t xml:space="preserve">Competencies</w:t>
      </w:r>
      <w:r>
        <w:t xml:space="preserve">,</w:t>
      </w:r>
      <w:r>
        <w:t xml:space="preserve"> </w:t>
      </w:r>
      <w:r>
        <w:rPr>
          <w:i/>
        </w:rPr>
        <w:t xml:space="preserve">Interests</w:t>
      </w:r>
      <w:r>
        <w:t xml:space="preserve">,</w:t>
      </w:r>
      <w:r>
        <w:t xml:space="preserve"> </w:t>
      </w:r>
      <w:r>
        <w:rPr>
          <w:i/>
        </w:rPr>
        <w:t xml:space="preserve">Resilience</w:t>
      </w:r>
      <w:r>
        <w:t xml:space="preserve"> </w:t>
      </w:r>
      <w:r>
        <w:t xml:space="preserve">and</w:t>
      </w:r>
      <w:r>
        <w:t xml:space="preserve"> </w:t>
      </w:r>
      <w:r>
        <w:rPr>
          <w:i/>
        </w:rPr>
        <w:t xml:space="preserve">Competencies</w:t>
      </w:r>
      <w:r>
        <w:t xml:space="preserve">).</w:t>
      </w:r>
    </w:p>
    <w:p>
      <w:pPr>
        <w:pStyle w:val="BodyText"/>
      </w:pPr>
      <w:r>
        <w:t xml:space="preserve">These results are indicative only, and have several evident limitations we discuss further below. The procedure to generate scores for each of the issues is as follows:</w:t>
      </w:r>
    </w:p>
    <w:p>
      <w:pPr>
        <w:pStyle w:val="Compact"/>
        <w:numPr>
          <w:numId w:val="1005"/>
          <w:ilvl w:val="0"/>
        </w:numPr>
      </w:pPr>
      <w:r>
        <w:t xml:space="preserve">Interpret each question as having either a</w:t>
      </w:r>
      <w:r>
        <w:t xml:space="preserve"> </w:t>
      </w:r>
      <w:r>
        <w:rPr>
          <w:i/>
        </w:rPr>
        <w:t xml:space="preserve">positive</w:t>
      </w:r>
      <w:r>
        <w:t xml:space="preserve"> </w:t>
      </w:r>
      <w:r>
        <w:t xml:space="preserve">or</w:t>
      </w:r>
      <w:r>
        <w:t xml:space="preserve"> </w:t>
      </w:r>
      <w:r>
        <w:rPr>
          <w:i/>
        </w:rPr>
        <w:t xml:space="preserve">negative</w:t>
      </w:r>
      <w:r>
        <w:t xml:space="preserve"> </w:t>
      </w:r>
      <w:r>
        <w:t xml:space="preserve">influence of the score of the critical issue. For example, "Frequency of harmful events" has a</w:t>
      </w:r>
      <w:r>
        <w:t xml:space="preserve"> </w:t>
      </w:r>
      <w:r>
        <w:rPr>
          <w:i/>
        </w:rPr>
        <w:t xml:space="preserve">negative influence</w:t>
      </w:r>
      <w:r>
        <w:t xml:space="preserve"> </w:t>
      </w:r>
      <w:r>
        <w:t xml:space="preserve">on the issue of Resilience (and indeed, on overall "Digital Capacities").</w:t>
      </w:r>
    </w:p>
    <w:p>
      <w:pPr>
        <w:pStyle w:val="Compact"/>
        <w:numPr>
          <w:numId w:val="1005"/>
          <w:ilvl w:val="0"/>
        </w:numPr>
      </w:pPr>
      <w:r>
        <w:t xml:space="preserve">Determine the</w:t>
      </w:r>
      <w:r>
        <w:t xml:space="preserve"> </w:t>
      </w:r>
      <w:r>
        <w:rPr>
          <w:i/>
        </w:rPr>
        <w:t xml:space="preserve">direction</w:t>
      </w:r>
      <w:r>
        <w:t xml:space="preserve"> </w:t>
      </w:r>
      <w:r>
        <w:t xml:space="preserve">of the scale coding. For example, in all of our "Agreement" questions, "Strongly Agree" was coded</w:t>
      </w:r>
      <w:r>
        <w:t xml:space="preserve"> </w:t>
      </w:r>
      <w:r>
        <w:rPr>
          <w:b/>
        </w:rPr>
        <w:t xml:space="preserve">5</w:t>
      </w:r>
      <w:r>
        <w:t xml:space="preserve">.</w:t>
      </w:r>
    </w:p>
    <w:p>
      <w:pPr>
        <w:pStyle w:val="Compact"/>
        <w:numPr>
          <w:numId w:val="1005"/>
          <w:ilvl w:val="0"/>
        </w:numPr>
      </w:pPr>
      <w:r>
        <w:t xml:space="preserve">For each question, calculate a question score based on both its interpretation and direction, by summing responses to individual items.</w:t>
      </w:r>
    </w:p>
    <w:p>
      <w:pPr>
        <w:pStyle w:val="Compact"/>
        <w:numPr>
          <w:numId w:val="1005"/>
          <w:ilvl w:val="0"/>
        </w:numPr>
      </w:pPr>
      <w:r>
        <w:t xml:space="preserve">For each respondent, add each of their question scores to produce a respondent critical issue score. This value is converted to a percentile, wher '100%' would indicate maximum responses to each item for each question in that critical issue.</w:t>
      </w:r>
    </w:p>
    <w:p>
      <w:pPr>
        <w:pStyle w:val="Compact"/>
        <w:numPr>
          <w:numId w:val="1005"/>
          <w:ilvl w:val="0"/>
        </w:numPr>
      </w:pPr>
      <w:r>
        <w:t xml:space="preserve">An combined score is taken by averaging the four critical issue scores.</w:t>
      </w:r>
    </w:p>
    <w:p>
      <w:pPr>
        <w:pStyle w:val="FirstParagraph"/>
      </w:pPr>
      <w:r>
        <w:t xml:space="preserve">Figure 5: Aggregated Results by Critical Issue then displays the relative frequencies of these scores, similar to the preceding individual question graphs. Because values are continuous (anywhere on a scale between 0 and 100 per cent), the graphs show a spectrum from blue (indicating a low score) to bright yellow (indicating a high score).</w:t>
      </w:r>
    </w:p>
    <w:p>
      <w:pPr>
        <w:pStyle w:val="BodyText"/>
      </w:pPr>
      <w:r>
        <w:t xml:space="preserve">The</w:t>
      </w:r>
      <w:r>
        <w:t xml:space="preserve"> </w:t>
      </w:r>
      <w:r>
        <w:rPr>
          <w:i/>
        </w:rPr>
        <w:t xml:space="preserve">Resilience</w:t>
      </w:r>
      <w:r>
        <w:t xml:space="preserve"> </w:t>
      </w:r>
      <w:r>
        <w:t xml:space="preserve">score is calculated in the same way as the other issue scores, with the exception that only the first two items under</w:t>
      </w:r>
      <w:r>
        <w:t xml:space="preserve"> </w:t>
      </w:r>
      <w:r>
        <w:rPr>
          <w:i/>
        </w:rPr>
        <w:t xml:space="preserve">Question 428</w:t>
      </w:r>
      <w:r>
        <w:t xml:space="preserve">, "Willingness to engage with others", are included in the scoring procedure. We have intepreted these items ("When I am going through a difficult time, I go online less often"; "When I am going through a difficult time, going online makes me feel better") as having some influence (the first negative, the second positive) on</w:t>
      </w:r>
      <w:r>
        <w:t xml:space="preserve"> </w:t>
      </w:r>
      <w:r>
        <w:rPr>
          <w:i/>
        </w:rPr>
        <w:t xml:space="preserve">Resilience</w:t>
      </w:r>
      <w:r>
        <w:t xml:space="preserve">.</w:t>
      </w:r>
    </w:p>
    <w:p>
      <w:pPr>
        <w:pStyle w:val="BodyText"/>
      </w:pPr>
      <w:r>
        <w:drawing>
          <wp:inline>
            <wp:extent cx="4610100" cy="3695700"/>
            <wp:effectExtent b="0" l="0" r="0" t="0"/>
            <wp:docPr descr="" id="1" name="Picture"/>
            <a:graphic>
              <a:graphicData uri="http://schemas.openxmlformats.org/drawingml/2006/picture">
                <pic:pic>
                  <pic:nvPicPr>
                    <pic:cNvPr descr="DCI_files/figure-docx/indexChart-1.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103" w:name="limitations"/>
      <w:bookmarkEnd w:id="103"/>
      <w:r>
        <w:t xml:space="preserve">Limitations</w:t>
      </w:r>
    </w:p>
    <w:p>
      <w:pPr>
        <w:pStyle w:val="FirstParagraph"/>
      </w:pPr>
      <w:r>
        <w:t xml:space="preserve">The above procedure has several limitations.</w:t>
      </w:r>
    </w:p>
    <w:p>
      <w:pPr>
        <w:pStyle w:val="BodyText"/>
      </w:pPr>
      <w:r>
        <w:t xml:space="preserve">First, it is questionable whether complex concepts such as digital resilience and social connectedness, in particular, are reducible to a quantitative value, regardless of the procedure used to derive it. At the very least, we recommend comparing these scores with our qualitative findings, which illustrate the more nuanced and sometimes contradictory character of these qualities in Australian families.</w:t>
      </w:r>
    </w:p>
    <w:p>
      <w:pPr>
        <w:pStyle w:val="BodyText"/>
      </w:pPr>
      <w:r>
        <w:t xml:space="preserve">Second, the procedure treats, at the moment, each of the scales as numerically regular. For example, on the</w:t>
      </w:r>
      <w:r>
        <w:t xml:space="preserve"> </w:t>
      </w:r>
      <w:r>
        <w:rPr>
          <w:i/>
        </w:rPr>
        <w:t xml:space="preserve">Agreement</w:t>
      </w:r>
      <w:r>
        <w:t xml:space="preserve"> </w:t>
      </w:r>
      <w:r>
        <w:t xml:space="preserve">scale it assumes</w:t>
      </w:r>
      <w:r>
        <w:t xml:space="preserve"> </w:t>
      </w:r>
      <w:r>
        <w:rPr>
          <w:i/>
        </w:rPr>
        <w:t xml:space="preserve">Strongly agree</w:t>
      </w:r>
      <w:r>
        <w:t xml:space="preserve"> </w:t>
      </w:r>
      <w:r>
        <w:t xml:space="preserve">warrants 1 more score point than</w:t>
      </w:r>
      <w:r>
        <w:t xml:space="preserve"> </w:t>
      </w:r>
      <w:r>
        <w:rPr>
          <w:i/>
        </w:rPr>
        <w:t xml:space="preserve">Agree</w:t>
      </w:r>
      <w:r>
        <w:t xml:space="preserve">, which in turn warrants 1 more point than</w:t>
      </w:r>
      <w:r>
        <w:t xml:space="preserve"> </w:t>
      </w:r>
      <w:r>
        <w:rPr>
          <w:i/>
        </w:rPr>
        <w:t xml:space="preserve">Neither Agree nor Disagree</w:t>
      </w:r>
      <w:r>
        <w:t xml:space="preserve">. In other words, ordinal scales are treated as</w:t>
      </w:r>
      <w:r>
        <w:t xml:space="preserve"> </w:t>
      </w:r>
      <w:r>
        <w:rPr>
          <w:i/>
        </w:rPr>
        <w:t xml:space="preserve">ratio</w:t>
      </w:r>
      <w:r>
        <w:t xml:space="preserve"> </w:t>
      </w:r>
      <w:r>
        <w:t xml:space="preserve">variables, with regular intervals.</w:t>
      </w:r>
    </w:p>
    <w:p>
      <w:pPr>
        <w:pStyle w:val="BodyText"/>
      </w:pPr>
      <w:r>
        <w:t xml:space="preserve">Third, the procedure assumes all questions and individual items have equal influence on the critical issue they have been aligned to.</w:t>
      </w:r>
    </w:p>
    <w:p>
      <w:pPr>
        <w:pStyle w:val="BodyText"/>
      </w:pPr>
      <w:r>
        <w:t xml:space="preserve">[Note for reviewers: The latter two of these issues can be addresses by a more sophisticated scaling and weighting approach. We are considering holding a workshop for this purpose in preparation of the complete draft meeting in May 2016.]</w:t>
      </w:r>
    </w:p>
    <w:p>
      <w:pPr>
        <w:pStyle w:val="Heading2"/>
      </w:pPr>
      <w:bookmarkStart w:id="104" w:name="references"/>
      <w:bookmarkEnd w:id="104"/>
      <w:r>
        <w:t xml:space="preserve">References</w:t>
      </w:r>
    </w:p>
    <w:p>
      <w:pPr>
        <w:pStyle w:val="Bibliography"/>
      </w:pPr>
      <w:r>
        <w:t xml:space="preserve">Helsper, Ellen.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c9b3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35a4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2d34d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68" Target="media/rId68.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90" Target="media/rId90.png" /><Relationship Type="http://schemas.openxmlformats.org/officeDocument/2006/relationships/image" Id="rId58" Target="media/rId58.png" /><Relationship Type="http://schemas.openxmlformats.org/officeDocument/2006/relationships/image" Id="rId88" Target="media/rId8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63" Target="media/rId63.png" /><Relationship Type="http://schemas.openxmlformats.org/officeDocument/2006/relationships/image" Id="rId44" Target="media/rId44.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image" Id="rId102" Target="media/rId102.png" /><Relationship Type="http://schemas.openxmlformats.org/officeDocument/2006/relationships/image" Id="rId36" Target="media/rId36.png" /><Relationship Type="http://schemas.openxmlformats.org/officeDocument/2006/relationships/image" Id="rId34" Target="media/rId34.gif" /><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coreProperties>
</file>