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76.png" ContentType="image/png"/>
  <Override PartName="/word/media/rId47.png" ContentType="image/png"/>
  <Override PartName="/word/media/rId31.png" ContentType="image/png"/>
  <Override PartName="/word/media/rId29.png" ContentType="image/png"/>
  <Override PartName="/word/media/rId42.png" ContentType="image/png"/>
  <Override PartName="/word/media/rId37.png" ContentType="image/png"/>
  <Override PartName="/word/media/rId44.png" ContentType="image/png"/>
  <Override PartName="/word/media/rId36.png" ContentType="image/png"/>
  <Override PartName="/word/media/rId46.png" ContentType="image/png"/>
  <Override PartName="/word/media/rId67.png" ContentType="image/png"/>
  <Override PartName="/word/media/rId68.png" ContentType="image/png"/>
  <Override PartName="/word/media/rId70.png" ContentType="image/png"/>
  <Override PartName="/word/media/rId73.png" ContentType="image/png"/>
  <Override PartName="/word/media/rId50.png" ContentType="image/png"/>
  <Override PartName="/word/media/rId52.png" ContentType="image/png"/>
  <Override PartName="/word/media/rId54.png" ContentType="image/png"/>
  <Override PartName="/word/media/rId55.png" ContentType="image/png"/>
  <Override PartName="/word/media/rId57.png" ContentType="image/png"/>
  <Override PartName="/word/media/rId60.png" ContentType="image/png"/>
  <Override PartName="/word/media/rId62.png" ContentType="image/png"/>
  <Override PartName="/word/media/rId64.png" ContentType="image/png"/>
  <Override PartName="/word/media/rId34.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Capacities</w:t>
      </w:r>
      <w:r>
        <w:t xml:space="preserve"> </w:t>
      </w:r>
      <w:r>
        <w:t xml:space="preserve">Index</w:t>
      </w:r>
      <w:r>
        <w:t xml:space="preserve"> </w:t>
      </w:r>
      <w:r>
        <w:t xml:space="preserve">-</w:t>
      </w:r>
      <w:r>
        <w:t xml:space="preserve"> </w:t>
      </w:r>
      <w:r>
        <w:t xml:space="preserve">Quantitative</w:t>
      </w:r>
      <w:r>
        <w:t xml:space="preserve"> </w:t>
      </w:r>
      <w:r>
        <w:t xml:space="preserve">Findings</w:t>
      </w:r>
    </w:p>
    <w:p>
      <w:pPr>
        <w:pStyle w:val="Date"/>
      </w:pPr>
      <w:r>
        <w:t xml:space="preserve">4</w:t>
      </w:r>
      <w:r>
        <w:t xml:space="preserve"> </w:t>
      </w:r>
      <w:r>
        <w:t xml:space="preserve">April</w:t>
      </w:r>
      <w:r>
        <w:t xml:space="preserve"> </w:t>
      </w:r>
      <w:r>
        <w:t xml:space="preserve">2016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2"/>
      </w:pPr>
      <w:bookmarkStart w:id="21" w:name="digital-capacities-index---quantitative-findings"/>
      <w:bookmarkEnd w:id="21"/>
      <w:r>
        <w:t xml:space="preserve">Digital Capacities Index - Quantitative Findings</w:t>
      </w:r>
    </w:p>
    <w:p>
      <w:pPr>
        <w:pStyle w:val="FirstParagraph"/>
      </w:pPr>
      <w:r>
        <w:t xml:space="preserve">The</w:t>
      </w:r>
      <w:r>
        <w:t xml:space="preserve"> </w:t>
      </w:r>
      <w:r>
        <w:rPr>
          <w:i/>
        </w:rPr>
        <w:t xml:space="preserve">Digital Capacities Index</w:t>
      </w:r>
      <w:r>
        <w:t xml:space="preserve"> </w:t>
      </w:r>
      <w:r>
        <w:t xml:space="preserve">is a pilot survey instrument developed by researchers at Western Sydney University and Google Australia.</w:t>
      </w:r>
      <w:r>
        <w:t xml:space="preserve"> </w:t>
      </w:r>
      <w:r>
        <w:t xml:space="preserve">The survey was administered by</w:t>
      </w:r>
      <w:r>
        <w:t xml:space="preserve"> </w:t>
      </w:r>
      <w:hyperlink r:id="rId22">
        <w:r>
          <w:rPr>
            <w:rStyle w:val="Hyperlink"/>
          </w:rPr>
          <w:t xml:space="preserve">Pure Profile</w:t>
        </w:r>
      </w:hyperlink>
      <w:r>
        <w:t xml:space="preserve"> </w:t>
      </w:r>
      <w:r>
        <w:t xml:space="preserve">in Febuary 2016.</w:t>
      </w:r>
    </w:p>
    <w:p>
      <w:pPr>
        <w:pStyle w:val="Heading3"/>
      </w:pPr>
      <w:bookmarkStart w:id="23" w:name="introduction"/>
      <w:bookmarkEnd w:id="23"/>
      <w:r>
        <w:t xml:space="preserve">Introduction</w:t>
      </w:r>
    </w:p>
    <w:p>
      <w:pPr>
        <w:pStyle w:val="FirstParagraph"/>
      </w:pPr>
      <w:r>
        <w:t xml:space="preserve">We included a total of 158 items measuring (a) frequency of various online behaviour, (b) levels of agreement with statements about digital capacities, (c) perceived importance of online activities and (d) ease of use of digital technologies.</w:t>
      </w:r>
    </w:p>
    <w:p>
      <w:pPr>
        <w:pStyle w:val="BodyText"/>
      </w:pPr>
      <w:r>
        <w:t xml:space="preserve">We further distinguished questions into the following key thematic areas, or what we have termed, following</w:t>
      </w:r>
      <w:r>
        <w:t xml:space="preserve"> </w:t>
      </w:r>
      <w:r>
        <w:t xml:space="preserve">James (2014)</w:t>
      </w:r>
      <w:r>
        <w:t xml:space="preserve">, 'critical issues'. These issues are:</w:t>
      </w:r>
    </w:p>
    <w:p>
      <w:pPr>
        <w:pStyle w:val="Compact"/>
        <w:numPr>
          <w:numId w:val="1001"/>
          <w:ilvl w:val="0"/>
        </w:numPr>
      </w:pPr>
      <w:r>
        <w:rPr>
          <w:b/>
        </w:rPr>
        <w:t xml:space="preserve">Competencies</w:t>
      </w:r>
      <w:r>
        <w:t xml:space="preserve"> </w:t>
      </w:r>
      <w:r>
        <w:t xml:space="preserve">(42 indicators).</w:t>
      </w:r>
    </w:p>
    <w:p>
      <w:pPr>
        <w:pStyle w:val="Compact"/>
        <w:numPr>
          <w:numId w:val="1001"/>
          <w:ilvl w:val="0"/>
        </w:numPr>
      </w:pPr>
      <w:r>
        <w:rPr>
          <w:b/>
        </w:rPr>
        <w:t xml:space="preserve">Interests</w:t>
      </w:r>
      <w:r>
        <w:t xml:space="preserve"> </w:t>
      </w:r>
      <w:r>
        <w:t xml:space="preserve">(44 indicators).</w:t>
      </w:r>
    </w:p>
    <w:p>
      <w:pPr>
        <w:pStyle w:val="Compact"/>
        <w:numPr>
          <w:numId w:val="1001"/>
          <w:ilvl w:val="0"/>
        </w:numPr>
      </w:pPr>
      <w:r>
        <w:rPr>
          <w:b/>
        </w:rPr>
        <w:t xml:space="preserve">Resilience</w:t>
      </w:r>
      <w:r>
        <w:t xml:space="preserve"> </w:t>
      </w:r>
      <w:r>
        <w:t xml:space="preserve">(24 indicators).</w:t>
      </w:r>
    </w:p>
    <w:p>
      <w:pPr>
        <w:pStyle w:val="Compact"/>
        <w:numPr>
          <w:numId w:val="1001"/>
          <w:ilvl w:val="0"/>
        </w:numPr>
      </w:pPr>
      <w:r>
        <w:rPr>
          <w:b/>
        </w:rPr>
        <w:t xml:space="preserve">Social Connectedness</w:t>
      </w:r>
      <w:r>
        <w:t xml:space="preserve"> </w:t>
      </w:r>
      <w:r>
        <w:t xml:space="preserve">(48 indicators).</w:t>
      </w:r>
    </w:p>
    <w:p>
      <w:pPr>
        <w:pStyle w:val="FirstParagraph"/>
      </w:pPr>
      <w:r>
        <w:t xml:space="preserve">These four issues were distilled from a list of nine issues that also included</w:t>
      </w:r>
      <w:r>
        <w:t xml:space="preserve"> </w:t>
      </w:r>
      <w:r>
        <w:rPr>
          <w:i/>
        </w:rPr>
        <w:t xml:space="preserve">Engagement</w:t>
      </w:r>
      <w:r>
        <w:t xml:space="preserve">,</w:t>
      </w:r>
      <w:r>
        <w:t xml:space="preserve"> </w:t>
      </w:r>
      <w:r>
        <w:rPr>
          <w:i/>
        </w:rPr>
        <w:t xml:space="preserve">Inclusion</w:t>
      </w:r>
      <w:r>
        <w:t xml:space="preserve">,</w:t>
      </w:r>
      <w:r>
        <w:t xml:space="preserve"> </w:t>
      </w:r>
      <w:r>
        <w:rPr>
          <w:i/>
        </w:rPr>
        <w:t xml:space="preserve">Policy Environment</w:t>
      </w:r>
      <w:r>
        <w:t xml:space="preserve">,</w:t>
      </w:r>
      <w:r>
        <w:t xml:space="preserve"> </w:t>
      </w:r>
      <w:r>
        <w:rPr>
          <w:i/>
        </w:rPr>
        <w:t xml:space="preserve">Infrastructure</w:t>
      </w:r>
      <w:r>
        <w:t xml:space="preserve"> </w:t>
      </w:r>
      <w:r>
        <w:t xml:space="preserve">and</w:t>
      </w:r>
      <w:r>
        <w:t xml:space="preserve"> </w:t>
      </w:r>
      <w:r>
        <w:rPr>
          <w:i/>
        </w:rPr>
        <w:t xml:space="preserve">Consequences</w:t>
      </w:r>
      <w:r>
        <w:t xml:space="preserve">.</w:t>
      </w:r>
    </w:p>
    <w:p>
      <w:pPr>
        <w:pStyle w:val="BodyText"/>
      </w:pPr>
      <w:r>
        <w:t xml:space="preserve">Against these four issues, we selected items and scales from existing sources in the literature where possible. In particular we drew from 'Kids Online'</w:t>
      </w:r>
      <w:r>
        <w:t xml:space="preserve"> </w:t>
      </w:r>
      <w:r>
        <w:t xml:space="preserve">(Livingstone et al. 2010)</w:t>
      </w:r>
      <w:r>
        <w:t xml:space="preserve">, Helsper's</w:t>
      </w:r>
      <w:r>
        <w:t xml:space="preserve"> </w:t>
      </w:r>
      <w:r>
        <w:t xml:space="preserve">(2012)</w:t>
      </w:r>
      <w:r>
        <w:t xml:space="preserve"> </w:t>
      </w:r>
      <w:r>
        <w:t xml:space="preserve">'Corresponding fields model', a study by Humphry</w:t>
      </w:r>
      <w:r>
        <w:t xml:space="preserve"> </w:t>
      </w:r>
      <w:r>
        <w:t xml:space="preserve">(2014)</w:t>
      </w:r>
      <w:r>
        <w:t xml:space="preserve"> </w:t>
      </w:r>
      <w:r>
        <w:t xml:space="preserve">of mobile use among homeless populations, and indicators compiled by the</w:t>
      </w:r>
      <w:r>
        <w:t xml:space="preserve"> </w:t>
      </w:r>
      <w:hyperlink r:id="rId24">
        <w:r>
          <w:rPr>
            <w:rStyle w:val="Hyperlink"/>
          </w:rPr>
          <w:t xml:space="preserve">Young and Well CRC</w:t>
        </w:r>
      </w:hyperlink>
      <w:r>
        <w:t xml:space="preserve">. Other indicators were developed by the</w:t>
      </w:r>
      <w:r>
        <w:t xml:space="preserve"> </w:t>
      </w:r>
      <w:r>
        <w:rPr>
          <w:i/>
        </w:rPr>
        <w:t xml:space="preserve">Digital Capacities Index</w:t>
      </w:r>
      <w:r>
        <w:t xml:space="preserve"> </w:t>
      </w:r>
      <w:r>
        <w:t xml:space="preserve">team.</w:t>
      </w:r>
    </w:p>
    <w:p>
      <w:pPr>
        <w:pStyle w:val="BodyText"/>
      </w:pPr>
      <w:r>
        <w:t xml:space="preserve">A large number of candidate scales were distilled down to the current list after two day-long workshops, and testing of the survey.</w:t>
      </w:r>
    </w:p>
    <w:p>
      <w:pPr>
        <w:pStyle w:val="Heading3"/>
      </w:pPr>
      <w:bookmarkStart w:id="25" w:name="demographics"/>
      <w:bookmarkEnd w:id="25"/>
      <w:r>
        <w:t xml:space="preserve">Demographics</w:t>
      </w:r>
    </w:p>
    <w:p>
      <w:pPr>
        <w:pStyle w:val="FirstParagraph"/>
      </w:pPr>
      <w:r>
        <w:t xml:space="preserve">The survey included a total of 2,157 participants. We requested the survey provider provide a panel in terms of age groups, gender and geographic regions. As the panel provider recruited participants online, our pilot sample is expected to be skewed towards Australian citizens and families with comparatively high digital capacities. This caveat is signficant to the interpretation of our results below.</w:t>
      </w:r>
    </w:p>
    <w:p>
      <w:pPr>
        <w:pStyle w:val="BodyText"/>
      </w:pPr>
      <w:r>
        <w:t xml:space="preserve">[Need something on family composition]</w:t>
      </w:r>
    </w:p>
    <w:p>
      <w:pPr>
        <w:pStyle w:val="Heading4"/>
      </w:pPr>
      <w:bookmarkStart w:id="26" w:name="age"/>
      <w:bookmarkEnd w:id="26"/>
      <w:r>
        <w:t xml:space="preserve">Age</w:t>
      </w:r>
    </w:p>
    <w:p>
      <w:pPr>
        <w:pStyle w:val="FirstParagraph"/>
      </w:pPr>
      <w:r>
        <w:t xml:space="preserve">Participant ages ranged from 18 to 91, with a median value of 45.</w:t>
      </w:r>
    </w:p>
    <w:p>
      <w:pPr>
        <w:pStyle w:val="BodyText"/>
      </w:pPr>
      <w:r>
        <w:rPr>
          <w:i/>
        </w:rPr>
        <w:t xml:space="preserve">Figure 1</w:t>
      </w:r>
      <w:r>
        <w:t xml:space="preserve"> </w:t>
      </w:r>
      <w:r>
        <w:t xml:space="preserve">provides more detailed age demographics:</w:t>
      </w:r>
    </w:p>
    <w:p>
      <w:pPr>
        <w:pStyle w:val="BodyText"/>
      </w:pPr>
      <w:r>
        <w:drawing>
          <wp:inline>
            <wp:extent cx="5334000" cy="4267200"/>
            <wp:effectExtent b="0" l="0" r="0" t="0"/>
            <wp:docPr descr="" id="1" name="Picture"/>
            <a:graphic>
              <a:graphicData uri="http://schemas.openxmlformats.org/drawingml/2006/picture">
                <pic:pic>
                  <pic:nvPicPr>
                    <pic:cNvPr descr="DCI_files/figure-docx/ageFreq-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rPr>
        <w:t xml:space="preserve">Figure 1: Age Frequency</w:t>
      </w:r>
    </w:p>
    <w:p>
      <w:pPr>
        <w:pStyle w:val="Heading4"/>
      </w:pPr>
      <w:bookmarkStart w:id="28" w:name="gender"/>
      <w:bookmarkEnd w:id="28"/>
      <w:r>
        <w:t xml:space="preserve">Gender</w:t>
      </w:r>
    </w:p>
    <w:p>
      <w:pPr>
        <w:pStyle w:val="FirstParagraph"/>
      </w:pPr>
      <w:r>
        <w:t xml:space="preserve">Participant gender is roughly evenly distributed. The survey included 1,105 (51%) women; 1,048 (49%) men; and 4 (0.19%) identifying as 'Other'.</w:t>
      </w:r>
    </w:p>
    <w:p>
      <w:pPr>
        <w:pStyle w:val="BodyText"/>
      </w:pPr>
      <w:r>
        <w:t xml:space="preserve">Gender demographics are distributed, as show in Figure 2:</w:t>
      </w:r>
    </w:p>
    <w:p>
      <w:pPr>
        <w:pStyle w:val="BodyText"/>
      </w:pPr>
      <w:r>
        <w:drawing>
          <wp:inline>
            <wp:extent cx="5334000" cy="4267200"/>
            <wp:effectExtent b="0" l="0" r="0" t="0"/>
            <wp:docPr descr="" id="1" name="Picture"/>
            <a:graphic>
              <a:graphicData uri="http://schemas.openxmlformats.org/drawingml/2006/picture">
                <pic:pic>
                  <pic:nvPicPr>
                    <pic:cNvPr descr="DCI_files/figure-docx/genderFreq-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rPr>
        <w:t xml:space="preserve">Figure 2: Gender Frequency</w:t>
      </w:r>
    </w:p>
    <w:p>
      <w:pPr>
        <w:pStyle w:val="Heading4"/>
      </w:pPr>
      <w:bookmarkStart w:id="30" w:name="combined-age-and-gender"/>
      <w:bookmarkEnd w:id="30"/>
      <w:r>
        <w:t xml:space="preserve">Combined Age and Gender</w:t>
      </w:r>
    </w:p>
    <w:p>
      <w:pPr>
        <w:pStyle w:val="FirstParagraph"/>
      </w:pPr>
      <w:r>
        <w:t xml:space="preserve">Combined age and gender demographics are distributed as per *Figure 3:</w:t>
      </w:r>
    </w:p>
    <w:p>
      <w:pPr>
        <w:pStyle w:val="BodyText"/>
      </w:pPr>
      <w:r>
        <w:drawing>
          <wp:inline>
            <wp:extent cx="5334000" cy="4267200"/>
            <wp:effectExtent b="0" l="0" r="0" t="0"/>
            <wp:docPr descr="" id="1" name="Picture"/>
            <a:graphic>
              <a:graphicData uri="http://schemas.openxmlformats.org/drawingml/2006/picture">
                <pic:pic>
                  <pic:nvPicPr>
                    <pic:cNvPr descr="DCI_files/figure-docx/genderAndAgeFreq-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rPr>
        <w:t xml:space="preserve">Figure 3: Age &amp; Gender Frequency</w:t>
      </w:r>
    </w:p>
    <w:p>
      <w:pPr>
        <w:pStyle w:val="BodyText"/>
      </w:pPr>
      <w:r>
        <w:t xml:space="preserve">These figures approximate to Australia's adult age distribution, as reported by the ABS in 2014 in</w:t>
      </w:r>
      <w:r>
        <w:t xml:space="preserve"> </w:t>
      </w:r>
      <w:r>
        <w:rPr>
          <w:b/>
        </w:rPr>
        <w:t xml:space="preserve">cf("age.gender.freq.abs")</w:t>
      </w:r>
      <w:r>
        <w:t xml:space="preserve"> </w:t>
      </w:r>
      <w:r>
        <w:t xml:space="preserve">below, though with a considerably higher skew towards younger women and older men.</w:t>
      </w:r>
    </w:p>
    <w:p>
      <w:pPr>
        <w:pStyle w:val="BodyText"/>
      </w:pPr>
      <w:r>
        <w:drawing>
          <wp:inline>
            <wp:extent cx="5334000" cy="4157680"/>
            <wp:effectExtent b="0" l="0" r="0" t="0"/>
            <wp:docPr descr="" id="1" name="Picture"/>
            <a:graphic>
              <a:graphicData uri="http://schemas.openxmlformats.org/drawingml/2006/picture">
                <pic:pic>
                  <pic:nvPicPr>
                    <pic:cNvPr descr="http://www.abs.gov.au/ausstats/abs@.nsf/0/1cd2b1952afc5e7aca257298000f2e76/Body/0.2A9C!OpenElement&amp;FieldElemFormat=gif" id="0" name="Picture"/>
                    <pic:cNvPicPr>
                      <a:picLocks noChangeArrowheads="1" noChangeAspect="1"/>
                    </pic:cNvPicPr>
                  </pic:nvPicPr>
                  <pic:blipFill>
                    <a:blip r:embed="rId34"/>
                    <a:stretch>
                      <a:fillRect/>
                    </a:stretch>
                  </pic:blipFill>
                  <pic:spPr bwMode="auto">
                    <a:xfrm>
                      <a:off x="0" y="0"/>
                      <a:ext cx="5334000" cy="4157680"/>
                    </a:xfrm>
                    <a:prstGeom prst="rect">
                      <a:avLst/>
                    </a:prstGeom>
                    <a:noFill/>
                    <a:ln w="9525">
                      <a:noFill/>
                      <a:headEnd/>
                      <a:tailEnd/>
                    </a:ln>
                  </pic:spPr>
                </pic:pic>
              </a:graphicData>
            </a:graphic>
          </wp:inline>
        </w:drawing>
      </w:r>
    </w:p>
    <w:p>
      <w:pPr>
        <w:pStyle w:val="BodyText"/>
      </w:pPr>
      <w:r>
        <w:rPr>
          <w:b/>
        </w:rPr>
        <w:t xml:space="preserve">fig_nums("age.gender.freq.abs")</w:t>
      </w:r>
    </w:p>
    <w:p>
      <w:pPr>
        <w:pStyle w:val="Heading4"/>
      </w:pPr>
      <w:bookmarkStart w:id="35" w:name="state-and-location"/>
      <w:bookmarkEnd w:id="35"/>
      <w:r>
        <w:t xml:space="preserve">State and Location</w:t>
      </w:r>
    </w:p>
    <w:p>
      <w:pPr>
        <w:pStyle w:val="FirstParagraph"/>
      </w:pPr>
      <w:r>
        <w:t xml:space="preserve">Participants are distributed by state as follows:</w:t>
      </w:r>
    </w:p>
    <w:p>
      <w:pPr>
        <w:pStyle w:val="BodyText"/>
      </w:pPr>
      <w:r>
        <w:drawing>
          <wp:inline>
            <wp:extent cx="5334000" cy="4267200"/>
            <wp:effectExtent b="0" l="0" r="0" t="0"/>
            <wp:docPr descr="" id="1" name="Picture"/>
            <a:graphic>
              <a:graphicData uri="http://schemas.openxmlformats.org/drawingml/2006/picture">
                <pic:pic>
                  <pic:nvPicPr>
                    <pic:cNvPr descr="DCI_files/figure-docx/stateFreq-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split of participants between urban and regional/rural is as follows:</w:t>
      </w:r>
    </w:p>
    <w:p>
      <w:pPr>
        <w:pStyle w:val="BodyText"/>
      </w:pPr>
      <w:r>
        <w:drawing>
          <wp:inline>
            <wp:extent cx="5334000" cy="4267200"/>
            <wp:effectExtent b="0" l="0" r="0" t="0"/>
            <wp:docPr descr="" id="1" name="Picture"/>
            <a:graphic>
              <a:graphicData uri="http://schemas.openxmlformats.org/drawingml/2006/picture">
                <pic:pic>
                  <pic:nvPicPr>
                    <pic:cNvPr descr="DCI_files/figure-docx/locationFreq-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8" w:name="results-by-critical-issue"/>
      <w:bookmarkEnd w:id="38"/>
      <w:r>
        <w:t xml:space="preserve">Results by Critical Issue</w:t>
      </w:r>
    </w:p>
    <w:p>
      <w:pPr>
        <w:pStyle w:val="Heading3"/>
      </w:pPr>
      <w:bookmarkStart w:id="39" w:name="competencies"/>
      <w:bookmarkEnd w:id="39"/>
      <w:r>
        <w:t xml:space="preserve">Competencies</w:t>
      </w:r>
    </w:p>
    <w:p>
      <w:pPr>
        <w:pStyle w:val="FirstParagraph"/>
      </w:pPr>
      <w:r>
        <w:t xml:space="preserve">Our survey asked participants to respond to two questions about competencies:</w:t>
      </w:r>
    </w:p>
    <w:p>
      <w:pPr>
        <w:pStyle w:val="Compact"/>
        <w:numPr>
          <w:numId w:val="1002"/>
          <w:ilvl w:val="0"/>
        </w:numPr>
      </w:pPr>
      <w:r>
        <w:t xml:space="preserve">Frequency of online activity</w:t>
      </w:r>
    </w:p>
    <w:p>
      <w:pPr>
        <w:pStyle w:val="Compact"/>
        <w:numPr>
          <w:numId w:val="1002"/>
          <w:ilvl w:val="0"/>
        </w:numPr>
      </w:pPr>
      <w:r>
        <w:t xml:space="preserve">Perceived ease of conducting online activity</w:t>
      </w:r>
    </w:p>
    <w:p>
      <w:pPr>
        <w:pStyle w:val="Heading4"/>
      </w:pPr>
      <w:bookmarkStart w:id="40" w:name="frequency-of-online-activity"/>
      <w:bookmarkEnd w:id="40"/>
      <w:r>
        <w:t xml:space="preserve">Frequency of online activity</w:t>
      </w:r>
    </w:p>
    <w:p>
      <w:pPr>
        <w:pStyle w:val="FirstParagraph"/>
      </w:pPr>
      <w:r>
        <w:rPr>
          <w:i/>
        </w:rPr>
        <w:t xml:space="preserve">Frequency of online activity</w:t>
      </w:r>
      <w:r>
        <w:t xml:space="preserve"> </w:t>
      </w:r>
      <w:r>
        <w:t xml:space="preserve">measures frequency of 15 different activities, ranging from highly common activities such as sending email through to less common activities (in 2016), such as writing blogs.</w:t>
      </w:r>
    </w:p>
    <w:p>
      <w:pPr>
        <w:pStyle w:val="Heading5"/>
      </w:pPr>
      <w:bookmarkStart w:id="41" w:name="by-activity"/>
      <w:bookmarkEnd w:id="41"/>
      <w:r>
        <w:t xml:space="preserve">By activity</w:t>
      </w:r>
    </w:p>
    <w:p>
      <w:pPr>
        <w:pStyle w:val="FirstParagraph"/>
      </w:pPr>
      <w:r>
        <w:t xml:space="preserve">The graph below shows the relative frequencies of each activity. Using the Internet generally (for work, study, and for personal use), sending email and social networking are the most common activities. Streaming music, playing games with others, sharing media and writing blogs or diaries are comparatively uncommon activities.</w:t>
      </w:r>
    </w:p>
    <w:p>
      <w:pPr>
        <w:pStyle w:val="BodyText"/>
      </w:pPr>
      <w:r>
        <w:drawing>
          <wp:inline>
            <wp:extent cx="5334000" cy="4267200"/>
            <wp:effectExtent b="0" l="0" r="0" t="0"/>
            <wp:docPr descr="" id="1" name="Picture"/>
            <a:graphic>
              <a:graphicData uri="http://schemas.openxmlformats.org/drawingml/2006/picture">
                <pic:pic>
                  <pic:nvPicPr>
                    <pic:cNvPr descr="DCI_files/figure-docx/graphSubQuestion74-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5"/>
      </w:pPr>
      <w:bookmarkStart w:id="43" w:name="aggregated-online-activity"/>
      <w:bookmarkEnd w:id="43"/>
      <w:r>
        <w:t xml:space="preserve">Aggregated online activity</w:t>
      </w:r>
    </w:p>
    <w:p>
      <w:pPr>
        <w:pStyle w:val="FirstParagraph"/>
      </w:pPr>
      <w:r>
        <w:drawing>
          <wp:inline>
            <wp:extent cx="5334000" cy="4267200"/>
            <wp:effectExtent b="0" l="0" r="0" t="0"/>
            <wp:docPr descr="" id="1" name="Picture"/>
            <a:graphic>
              <a:graphicData uri="http://schemas.openxmlformats.org/drawingml/2006/picture">
                <pic:pic>
                  <pic:nvPicPr>
                    <pic:cNvPr descr="DCI_files/figure-docx/onlineActivities-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5" w:name="perceived-ease-of-conducting-online-activity"/>
      <w:bookmarkEnd w:id="45"/>
      <w:r>
        <w:t xml:space="preserve">Perceived ease of conducting online activity</w:t>
      </w:r>
    </w:p>
    <w:p>
      <w:pPr>
        <w:pStyle w:val="FirstParagraph"/>
      </w:pPr>
      <w:r>
        <w:drawing>
          <wp:inline>
            <wp:extent cx="5334000" cy="4267200"/>
            <wp:effectExtent b="0" l="0" r="0" t="0"/>
            <wp:docPr descr="" id="1" name="Picture"/>
            <a:graphic>
              <a:graphicData uri="http://schemas.openxmlformats.org/drawingml/2006/picture">
                <pic:pic>
                  <pic:nvPicPr>
                    <pic:cNvPr descr="DCI_files/figure-docx/unnamed-chunk-1-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id="1" name="Picture"/>
            <a:graphic>
              <a:graphicData uri="http://schemas.openxmlformats.org/drawingml/2006/picture">
                <pic:pic>
                  <pic:nvPicPr>
                    <pic:cNvPr descr="DCI_files/figure-docx/ageFreqForEase-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8" w:name="interests"/>
      <w:bookmarkEnd w:id="48"/>
      <w:r>
        <w:t xml:space="preserve">Interests</w:t>
      </w:r>
    </w:p>
    <w:p>
      <w:pPr>
        <w:pStyle w:val="Heading4"/>
      </w:pPr>
      <w:bookmarkStart w:id="49" w:name="general-interests"/>
      <w:bookmarkEnd w:id="49"/>
      <w:r>
        <w:t xml:space="preserve">General Interests</w:t>
      </w:r>
    </w:p>
    <w:p>
      <w:pPr>
        <w:pStyle w:val="FirstParagraph"/>
      </w:pPr>
      <w:r>
        <w:drawing>
          <wp:inline>
            <wp:extent cx="5334000" cy="4267200"/>
            <wp:effectExtent b="0" l="0" r="0" t="0"/>
            <wp:docPr descr="" id="1" name="Picture"/>
            <a:graphic>
              <a:graphicData uri="http://schemas.openxmlformats.org/drawingml/2006/picture">
                <pic:pic>
                  <pic:nvPicPr>
                    <pic:cNvPr descr="DCI_files/figure-docx/unnamed-chunk-2-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51" w:name="interest-in-seeking-difference"/>
      <w:bookmarkEnd w:id="51"/>
      <w:r>
        <w:t xml:space="preserve">Interest in seeking difference</w:t>
      </w:r>
    </w:p>
    <w:p>
      <w:pPr>
        <w:pStyle w:val="FirstParagraph"/>
      </w:pPr>
      <w:r>
        <w:drawing>
          <wp:inline>
            <wp:extent cx="5334000" cy="4267200"/>
            <wp:effectExtent b="0" l="0" r="0" t="0"/>
            <wp:docPr descr="" id="1" name="Picture"/>
            <a:graphic>
              <a:graphicData uri="http://schemas.openxmlformats.org/drawingml/2006/picture">
                <pic:pic>
                  <pic:nvPicPr>
                    <pic:cNvPr descr="DCI_files/figure-docx/unnamed-chunk-3-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53" w:name="interest-in-fitness-and-health-improvement"/>
      <w:bookmarkEnd w:id="53"/>
      <w:r>
        <w:t xml:space="preserve">Interest in fitness and health improvement</w:t>
      </w:r>
    </w:p>
    <w:p>
      <w:pPr>
        <w:pStyle w:val="FirstParagraph"/>
      </w:pPr>
      <w:r>
        <w:drawing>
          <wp:inline>
            <wp:extent cx="5334000" cy="4267200"/>
            <wp:effectExtent b="0" l="0" r="0" t="0"/>
            <wp:docPr descr="" id="1" name="Picture"/>
            <a:graphic>
              <a:graphicData uri="http://schemas.openxmlformats.org/drawingml/2006/picture">
                <pic:pic>
                  <pic:nvPicPr>
                    <pic:cNvPr descr="DCI_files/figure-docx/unnamed-chunk-4-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id="1" name="Picture"/>
            <a:graphic>
              <a:graphicData uri="http://schemas.openxmlformats.org/drawingml/2006/picture">
                <pic:pic>
                  <pic:nvPicPr>
                    <pic:cNvPr descr="DCI_files/figure-docx/unnamed-chunk-5-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56" w:name="interest-in-keeping-in-touch"/>
      <w:bookmarkEnd w:id="56"/>
      <w:r>
        <w:t xml:space="preserve">Interest in keeping in touch</w:t>
      </w:r>
    </w:p>
    <w:p>
      <w:pPr>
        <w:pStyle w:val="FirstParagraph"/>
      </w:pPr>
      <w:r>
        <w:drawing>
          <wp:inline>
            <wp:extent cx="5334000" cy="4267200"/>
            <wp:effectExtent b="0" l="0" r="0" t="0"/>
            <wp:docPr descr="" id="1" name="Picture"/>
            <a:graphic>
              <a:graphicData uri="http://schemas.openxmlformats.org/drawingml/2006/picture">
                <pic:pic>
                  <pic:nvPicPr>
                    <pic:cNvPr descr="DCI_files/figure-docx/unnamed-chunk-6-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58" w:name="resilience"/>
      <w:bookmarkEnd w:id="58"/>
      <w:r>
        <w:t xml:space="preserve">Resilience</w:t>
      </w:r>
    </w:p>
    <w:p>
      <w:pPr>
        <w:pStyle w:val="Heading4"/>
      </w:pPr>
      <w:bookmarkStart w:id="59" w:name="frequency-of-harmful-events"/>
      <w:bookmarkEnd w:id="59"/>
      <w:r>
        <w:t xml:space="preserve">Frequency of harmful events</w:t>
      </w:r>
    </w:p>
    <w:p>
      <w:pPr>
        <w:pStyle w:val="FirstParagraph"/>
      </w:pPr>
      <w:r>
        <w:drawing>
          <wp:inline>
            <wp:extent cx="5334000" cy="4267200"/>
            <wp:effectExtent b="0" l="0" r="0" t="0"/>
            <wp:docPr descr="" id="1" name="Picture"/>
            <a:graphic>
              <a:graphicData uri="http://schemas.openxmlformats.org/drawingml/2006/picture">
                <pic:pic>
                  <pic:nvPicPr>
                    <pic:cNvPr descr="DCI_files/figure-docx/unnamed-chunk-7-1.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61" w:name="responses-to-statements-about-online-harms"/>
      <w:bookmarkEnd w:id="61"/>
      <w:r>
        <w:t xml:space="preserve">Responses to statements about online harms</w:t>
      </w:r>
    </w:p>
    <w:p>
      <w:pPr>
        <w:pStyle w:val="FirstParagraph"/>
      </w:pPr>
      <w:r>
        <w:drawing>
          <wp:inline>
            <wp:extent cx="5334000" cy="4267200"/>
            <wp:effectExtent b="0" l="0" r="0" t="0"/>
            <wp:docPr descr="" id="1" name="Picture"/>
            <a:graphic>
              <a:graphicData uri="http://schemas.openxmlformats.org/drawingml/2006/picture">
                <pic:pic>
                  <pic:nvPicPr>
                    <pic:cNvPr descr="DCI_files/figure-docx/unnamed-chunk-8-1.png" id="0"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63" w:name="willingness-to-engage-with-others"/>
      <w:bookmarkEnd w:id="63"/>
      <w:r>
        <w:t xml:space="preserve">Willingness to engage with others</w:t>
      </w:r>
    </w:p>
    <w:p>
      <w:pPr>
        <w:pStyle w:val="FirstParagraph"/>
      </w:pPr>
      <w:r>
        <w:drawing>
          <wp:inline>
            <wp:extent cx="5334000" cy="4267200"/>
            <wp:effectExtent b="0" l="0" r="0" t="0"/>
            <wp:docPr descr="" id="1" name="Picture"/>
            <a:graphic>
              <a:graphicData uri="http://schemas.openxmlformats.org/drawingml/2006/picture">
                <pic:pic>
                  <pic:nvPicPr>
                    <pic:cNvPr descr="DCI_files/figure-docx/unnamed-chunk-9-1.png" id="0"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65" w:name="social-connectedness"/>
      <w:bookmarkEnd w:id="65"/>
      <w:r>
        <w:t xml:space="preserve">Social Connectedness</w:t>
      </w:r>
    </w:p>
    <w:p>
      <w:pPr>
        <w:pStyle w:val="Heading4"/>
      </w:pPr>
      <w:bookmarkStart w:id="66" w:name="maintaining-connections"/>
      <w:bookmarkEnd w:id="66"/>
      <w:r>
        <w:t xml:space="preserve">Maintaining connections</w:t>
      </w:r>
    </w:p>
    <w:p>
      <w:pPr>
        <w:pStyle w:val="FirstParagraph"/>
      </w:pPr>
      <w:r>
        <w:drawing>
          <wp:inline>
            <wp:extent cx="5334000" cy="4267200"/>
            <wp:effectExtent b="0" l="0" r="0" t="0"/>
            <wp:docPr descr="" id="1" name="Picture"/>
            <a:graphic>
              <a:graphicData uri="http://schemas.openxmlformats.org/drawingml/2006/picture">
                <pic:pic>
                  <pic:nvPicPr>
                    <pic:cNvPr descr="DCI_files/figure-docx/unnamed-chunk-10-1.png" id="0"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id="1" name="Picture"/>
            <a:graphic>
              <a:graphicData uri="http://schemas.openxmlformats.org/drawingml/2006/picture">
                <pic:pic>
                  <pic:nvPicPr>
                    <pic:cNvPr descr="DCI_files/figure-docx/unnamed-chunk-11-1.png" id="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69" w:name="attitudes-towards-technology"/>
      <w:bookmarkEnd w:id="69"/>
      <w:r>
        <w:t xml:space="preserve">Attitudes towards Technology</w:t>
      </w:r>
    </w:p>
    <w:p>
      <w:pPr>
        <w:pStyle w:val="FirstParagraph"/>
      </w:pPr>
      <w:r>
        <w:drawing>
          <wp:inline>
            <wp:extent cx="5334000" cy="4267200"/>
            <wp:effectExtent b="0" l="0" r="0" t="0"/>
            <wp:docPr descr="" id="1" name="Picture"/>
            <a:graphic>
              <a:graphicData uri="http://schemas.openxmlformats.org/drawingml/2006/picture">
                <pic:pic>
                  <pic:nvPicPr>
                    <pic:cNvPr descr="DCI_files/figure-docx/unnamed-chunk-12-1.png" id="0"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71" w:name="overall-results---testing-only"/>
      <w:bookmarkEnd w:id="71"/>
      <w:r>
        <w:t xml:space="preserve">Overall results - TESTING ONLY</w:t>
      </w:r>
    </w:p>
    <w:p>
      <w:pPr>
        <w:pStyle w:val="Heading3"/>
      </w:pPr>
      <w:bookmarkStart w:id="72" w:name="index-scores"/>
      <w:bookmarkEnd w:id="72"/>
      <w:r>
        <w:t xml:space="preserve">Index scores</w:t>
      </w:r>
    </w:p>
    <w:p>
      <w:pPr>
        <w:pStyle w:val="FirstParagraph"/>
      </w:pPr>
      <w:r>
        <w:drawing>
          <wp:inline>
            <wp:extent cx="5334000" cy="4267200"/>
            <wp:effectExtent b="0" l="0" r="0" t="0"/>
            <wp:docPr descr="" id="1" name="Picture"/>
            <a:graphic>
              <a:graphicData uri="http://schemas.openxmlformats.org/drawingml/2006/picture">
                <pic:pic>
                  <pic:nvPicPr>
                    <pic:cNvPr descr="DCI_files/figure-docx/unnamed-chunk-13-1.png" id="0"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74" w:name="aggregated-by-age"/>
      <w:bookmarkEnd w:id="74"/>
      <w:r>
        <w:t xml:space="preserve">Aggregated by age</w:t>
      </w:r>
    </w:p>
    <w:p>
      <w:pPr>
        <w:pStyle w:val="Heading4"/>
      </w:pPr>
      <w:bookmarkStart w:id="75" w:name="aggregated-by-age-1"/>
      <w:bookmarkEnd w:id="75"/>
      <w:r>
        <w:t xml:space="preserve">Aggregated by age</w:t>
      </w:r>
    </w:p>
    <w:p>
      <w:pPr>
        <w:pStyle w:val="FirstParagraph"/>
      </w:pPr>
      <w:r>
        <w:drawing>
          <wp:inline>
            <wp:extent cx="5334000" cy="4267200"/>
            <wp:effectExtent b="0" l="0" r="0" t="0"/>
            <wp:docPr descr="" id="1" name="Picture"/>
            <a:graphic>
              <a:graphicData uri="http://schemas.openxmlformats.org/drawingml/2006/picture">
                <pic:pic>
                  <pic:nvPicPr>
                    <pic:cNvPr descr="DCI_files/figure-docx/ageFreqForAggregate-1.png" id="0"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77" w:name="appendex-1---digital-capacities-index-survey"/>
      <w:bookmarkEnd w:id="77"/>
      <w:r>
        <w:t xml:space="preserve">Appendex 1 - Digital Capacities Index Survey</w:t>
      </w:r>
    </w:p>
    <w:p>
      <w:pPr>
        <w:pStyle w:val="FirstParagraph"/>
      </w:pPr>
      <w:r>
        <w:t xml:space="preserve">[Include Full Survey Here]</w:t>
      </w:r>
    </w:p>
    <w:p>
      <w:pPr>
        <w:pStyle w:val="Heading2"/>
      </w:pPr>
      <w:bookmarkStart w:id="78" w:name="references"/>
      <w:bookmarkEnd w:id="78"/>
      <w:r>
        <w:t xml:space="preserve">References</w:t>
      </w:r>
    </w:p>
    <w:p>
      <w:pPr>
        <w:pStyle w:val="Bibliography"/>
      </w:pPr>
      <w:r>
        <w:t xml:space="preserve">Helsper, Ellen. 2012. “A Corresponding Fields Model for the Links Between Social and Digital Exclusion.”</w:t>
      </w:r>
      <w:r>
        <w:t xml:space="preserve"> </w:t>
      </w:r>
      <w:r>
        <w:rPr>
          <w:i/>
        </w:rPr>
        <w:t xml:space="preserve">Communication Theory</w:t>
      </w:r>
      <w:r>
        <w:t xml:space="preserve"> </w:t>
      </w:r>
      <w:r>
        <w:t xml:space="preserve">22 (4). Wiley Online Library: 403–26.</w:t>
      </w:r>
    </w:p>
    <w:p>
      <w:pPr>
        <w:pStyle w:val="Bibliography"/>
      </w:pPr>
      <w:r>
        <w:t xml:space="preserve">Humphry, Justine. 2014. “The Importance of Circumstance: Digital Access and Affordability for People Experiencing Homelessness.”</w:t>
      </w:r>
      <w:r>
        <w:t xml:space="preserve"> </w:t>
      </w:r>
      <w:r>
        <w:rPr>
          <w:i/>
        </w:rPr>
        <w:t xml:space="preserve">Australian Journal of Telecommunications and the Digital Economy</w:t>
      </w:r>
      <w:r>
        <w:t xml:space="preserve"> </w:t>
      </w:r>
      <w:r>
        <w:t xml:space="preserve">2 (3). Telecommunications Association: 55.</w:t>
      </w:r>
    </w:p>
    <w:p>
      <w:pPr>
        <w:pStyle w:val="Bibliography"/>
      </w:pPr>
      <w:r>
        <w:t xml:space="preserve">James, Paul. 2014.</w:t>
      </w:r>
      <w:r>
        <w:t xml:space="preserve"> </w:t>
      </w:r>
      <w:r>
        <w:rPr>
          <w:i/>
        </w:rPr>
        <w:t xml:space="preserve">Urban Sustainability in Theory and Practice: Circles of Sustainability</w:t>
      </w:r>
      <w:r>
        <w:t xml:space="preserve">. Routledge.</w:t>
      </w:r>
    </w:p>
    <w:p>
      <w:pPr>
        <w:pStyle w:val="Bibliography"/>
      </w:pPr>
      <w:r>
        <w:t xml:space="preserve">Livingstone, Sonia, Leslie Haddon, Anke Görzig, and Kjartan Ólafsson. 2010. “Risks and Safety on the Internet: The Perspective of European Children: Key Findings from the EU Kids Online Survey of 9-16 Year Olds and Their Parents in 25 Countries.” EU Kids Online.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0210d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bca287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76" Target="media/rId76.png" /><Relationship Type="http://schemas.openxmlformats.org/officeDocument/2006/relationships/image" Id="rId47" Target="media/rId47.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42" Target="media/rId42.png" /><Relationship Type="http://schemas.openxmlformats.org/officeDocument/2006/relationships/image" Id="rId37" Target="media/rId37.png" /><Relationship Type="http://schemas.openxmlformats.org/officeDocument/2006/relationships/image" Id="rId44" Target="media/rId44.png" /><Relationship Type="http://schemas.openxmlformats.org/officeDocument/2006/relationships/image" Id="rId36" Target="media/rId36.png" /><Relationship Type="http://schemas.openxmlformats.org/officeDocument/2006/relationships/image" Id="rId46" Target="media/rId4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34" Target="media/rId34.gif" /><Relationship Type="http://schemas.openxmlformats.org/officeDocument/2006/relationships/hyperlink" Id="rId24" Target="http://www.youngandwellcrc.org.au/" TargetMode="External" /><Relationship Type="http://schemas.openxmlformats.org/officeDocument/2006/relationships/hyperlink" Id="rId22" Target="https://www.pureprofile.com/us/" TargetMode="External" /></Relationships>
</file>

<file path=word/_rels/footnotes.xml.rels><?xml version="1.0" encoding="UTF-8"?>
<Relationships xmlns="http://schemas.openxmlformats.org/package/2006/relationships"><Relationship Type="http://schemas.openxmlformats.org/officeDocument/2006/relationships/hyperlink" Id="rId24" Target="http://www.youngandwellcrc.org.au/" TargetMode="External" /><Relationship Type="http://schemas.openxmlformats.org/officeDocument/2006/relationships/hyperlink" Id="rId22" Target="https://www.pureprofile.com/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Capacities Index - Quantitative Findings</dc:title>
  <dc:creator/>
</cp:coreProperties>
</file>