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fill="0D3B66"/>
            <w:tcMar>
              <w:top w:w="240" w:type="dxa"/>
              <w:bottom w:w="240" w:type="dxa"/>
              <w:left w:w="260" w:type="dxa"/>
              <w:right w:w="260" w:type="dxa"/>
            </w:tcMar>
          </w:tcPr>
          <w:p>
            <w:pPr>
              <w:jc w:val="center"/>
            </w:pPr>
            <w:r>
              <w:rPr>
                <w:rFonts w:ascii="Calibri" w:hAnsi="Calibri"/>
                <w:b/>
                <w:color w:val="FFFFFF"/>
                <w:sz w:val="34"/>
              </w:rPr>
              <w:t>ENTERPRISE AGENTIC AI SOLUTIONS GUIDE &amp; PORTFOLIO</w:t>
              <w:br/>
            </w:r>
            <w:r>
              <w:rPr>
                <w:rFonts w:ascii="Calibri" w:hAnsi="Calibri"/>
                <w:color w:val="D1E3FF"/>
                <w:sz w:val="22"/>
              </w:rPr>
              <w:t>The AI Agent Angle: How Business Analysts Define, Prototype, and Deploy Enterprise Solutions</w:t>
              <w:br/>
            </w:r>
            <w:r>
              <w:rPr>
                <w:rFonts w:ascii="Calibri" w:hAnsi="Calibri"/>
                <w:color w:val="FFFFFF"/>
                <w:sz w:val="19"/>
              </w:rPr>
              <w:t>Strategic Career Blueprint • Architecture Designs • Business ROI • Interview Mastery</w:t>
            </w:r>
          </w:p>
        </w:tc>
      </w:tr>
    </w:tbl>
    <w:p>
      <w:pPr>
        <w:spacing w:before="160"/>
      </w:pPr>
    </w:p>
    <w:p>
      <w:pPr>
        <w:keepNext/>
        <w:spacing w:before="240" w:after="80"/>
        <w:pBdr>
          <w:bottom w:val="single" w:sz="12" w:space="4" w:color="0D3B66"/>
        </w:pBdr>
      </w:pPr>
      <w:r>
        <w:rPr>
          <w:rFonts w:ascii="Calibri" w:hAnsi="Calibri"/>
          <w:b/>
          <w:color w:val="0D3B66"/>
          <w:sz w:val="30"/>
        </w:rPr>
        <w:t>1. THE STRATEGIC ANGLE: WHY POSITION AS AN AI-ENABLED BUSINESS ANALYST?</w:t>
      </w:r>
    </w:p>
    <w:p>
      <w:pPr>
        <w:spacing w:line="276" w:lineRule="auto"/>
      </w:pPr>
      <w:r>
        <w:rPr>
          <w:rFonts w:ascii="Calibri" w:hAnsi="Calibri"/>
          <w:sz w:val="20"/>
        </w:rPr>
        <w:t>In the enterprise market, there is a severe disconnect between raw AI engineering and business value. AI engineers build models, but they rarely understand general ledger reconciliations, revenue recognition rules, DAX filter context, or the operational impact of a $500k reporting discrepancy on a quarterly executive review. Conversely, traditional business analysts spend 40% of their time on repetitive manual tasks: investigating support tickets, reconciling SQL vs. Power BI numbers, writing weekly variance commentary, and copying data between systems.</w:t>
        <w:br/>
        <w:br/>
        <w:t>Your most credible and lucrative direction is NOT to present yourself as an AI engineer who trains foundation models. It is to position yourself as an AI-Enabled Senior Business Analyst &amp; Solutions Consultant who understands reporting problems intimately, defines the exact business requirements, and prototypes working agentic AI solutions in Python/Gradio. This positioning makes you indispensable: you speak fluent business and finance, you understand enterprise data pipelines, and you build functional AI prototypes that technical teams can scale and executives can immediately understand.</w:t>
      </w:r>
    </w:p>
    <w:p>
      <w:pPr>
        <w:keepNext/>
        <w:spacing w:before="240" w:after="80"/>
        <w:pBdr>
          <w:bottom w:val="single" w:sz="12" w:space="4" w:color="0D3B66"/>
        </w:pBdr>
      </w:pPr>
      <w:r>
        <w:rPr>
          <w:rFonts w:ascii="Calibri" w:hAnsi="Calibri"/>
          <w:b/>
          <w:color w:val="0D3B66"/>
          <w:sz w:val="30"/>
        </w:rPr>
        <w:t>2. PROJECT 1: DASHBOARD INSIGHTS AGENT (EXECUTIVE KPI RESOLVER)</w:t>
      </w:r>
    </w:p>
    <w:p>
      <w:pPr>
        <w:pStyle w:val="ListBullet"/>
        <w:spacing w:before="40" w:after="40" w:line="276" w:lineRule="auto"/>
      </w:pPr>
      <w:r>
        <w:rPr>
          <w:rFonts w:ascii="Calibri" w:hAnsi="Calibri"/>
          <w:b/>
          <w:color w:val="1E293B"/>
          <w:sz w:val="20"/>
        </w:rPr>
        <w:t xml:space="preserve">Enterprise Problem Statement: </w:t>
      </w:r>
      <w:r>
        <w:rPr>
          <w:rFonts w:ascii="Calibri" w:hAnsi="Calibri"/>
          <w:color w:val="334155"/>
          <w:sz w:val="20"/>
        </w:rPr>
        <w:t>Executive leadership reviews dozens of Power BI dashboard pages weekly. While dashboards present numbers, they do not explain the 'why' behind variances or prescribe corrective action. Business analysts often spend 6-8 hours prior to each executive steering meeting manually calculating margins, isolating underperforming business units, and writing PowerPoint narrative summaries.</w:t>
      </w:r>
    </w:p>
    <w:p>
      <w:pPr>
        <w:pStyle w:val="ListBullet"/>
        <w:spacing w:before="40" w:after="40" w:line="276" w:lineRule="auto"/>
      </w:pPr>
      <w:r>
        <w:rPr>
          <w:rFonts w:ascii="Calibri" w:hAnsi="Calibri"/>
          <w:b/>
          <w:color w:val="1E293B"/>
          <w:sz w:val="20"/>
        </w:rPr>
        <w:t xml:space="preserve">Agentic Architecture &amp; Workflow: </w:t>
      </w:r>
      <w:r>
        <w:rPr>
          <w:rFonts w:ascii="Calibri" w:hAnsi="Calibri"/>
          <w:color w:val="334155"/>
          <w:sz w:val="20"/>
        </w:rPr>
        <w:t>The Dashboard Insights Agent ingests structured reporting extracts (CSV/Excel/SQL View). It automatically identifies metric dimensions (Target vs. Actual, Budget vs. Cost, Margin %, EBITDA), calculates variances, applies tolerance thresholds (e.g. 5% variance flag), and executes natural language reasoning to generate an Executive KPI Briefing, Variance Attribution Matrix, Driver Hypotheses, and Prioritized Management Next Steps.</w:t>
      </w:r>
    </w:p>
    <w:p>
      <w:pPr>
        <w:pStyle w:val="ListBullet"/>
        <w:spacing w:before="40" w:after="40" w:line="276" w:lineRule="auto"/>
      </w:pPr>
      <w:r>
        <w:rPr>
          <w:rFonts w:ascii="Calibri" w:hAnsi="Calibri"/>
          <w:b/>
          <w:color w:val="1E293B"/>
          <w:sz w:val="20"/>
        </w:rPr>
        <w:t xml:space="preserve">Business Analyst's Role &amp; Contribution: </w:t>
      </w:r>
      <w:r>
        <w:rPr>
          <w:rFonts w:ascii="Calibri" w:hAnsi="Calibri"/>
          <w:color w:val="334155"/>
          <w:sz w:val="20"/>
        </w:rPr>
        <w:t>Designed business logic matrices, established tolerance thresholds, created the prompt templates, and built the interactive Gradio prototype in Python, enabling delivery executives to perform self-service variance analysis in real time.</w:t>
      </w:r>
    </w:p>
    <w:p>
      <w:pPr>
        <w:pStyle w:val="ListBullet"/>
        <w:spacing w:before="40" w:after="40" w:line="276" w:lineRule="auto"/>
      </w:pPr>
      <w:r>
        <w:rPr>
          <w:rFonts w:ascii="Calibri" w:hAnsi="Calibri"/>
          <w:b/>
          <w:color w:val="1E293B"/>
          <w:sz w:val="20"/>
        </w:rPr>
        <w:t xml:space="preserve">Quantified Enterprise ROI: </w:t>
      </w:r>
      <w:r>
        <w:rPr>
          <w:rFonts w:ascii="Calibri" w:hAnsi="Calibri"/>
          <w:color w:val="334155"/>
          <w:sz w:val="20"/>
        </w:rPr>
        <w:t>Saves 6-8 hours of manual preparation per reporting cycle; reduces executive review preparation latency by 85%; eliminates calculation errors in leadership slide decks.</w:t>
      </w:r>
    </w:p>
    <w:p>
      <w:pPr>
        <w:keepNext/>
        <w:spacing w:before="240" w:after="80"/>
        <w:pBdr>
          <w:bottom w:val="single" w:sz="12" w:space="4" w:color="0D3B66"/>
        </w:pBdr>
      </w:pPr>
      <w:r>
        <w:rPr>
          <w:rFonts w:ascii="Calibri" w:hAnsi="Calibri"/>
          <w:b/>
          <w:color w:val="0D3B66"/>
          <w:sz w:val="30"/>
        </w:rPr>
        <w:t>3. PROJECT 2: AUTONOMOUS REPORTING INVESTIGATION ASSISTANT (ARIA)</w:t>
      </w:r>
    </w:p>
    <w:p>
      <w:pPr>
        <w:pStyle w:val="ListBullet"/>
        <w:spacing w:before="40" w:after="40" w:line="276" w:lineRule="auto"/>
      </w:pPr>
      <w:r>
        <w:rPr>
          <w:rFonts w:ascii="Calibri" w:hAnsi="Calibri"/>
          <w:b/>
          <w:color w:val="1E293B"/>
          <w:sz w:val="20"/>
        </w:rPr>
        <w:t xml:space="preserve">Enterprise Problem Statement: </w:t>
      </w:r>
      <w:r>
        <w:rPr>
          <w:rFonts w:ascii="Calibri" w:hAnsi="Calibri"/>
          <w:color w:val="334155"/>
          <w:sz w:val="20"/>
        </w:rPr>
        <w:t>When business stakeholders notice that a front-end Power BI report diverges from an ERP or source database (e.g. Q3 revenue missing $550k), ticket triage takes 4-12 hours. Business analysts, service desk staff, and SQL developers bounce tickets back and forth to determine if the fault is in Power BI DAX formulas, SQL view joins, or ETL batch lag.</w:t>
      </w:r>
    </w:p>
    <w:p>
      <w:pPr>
        <w:pStyle w:val="ListBullet"/>
        <w:spacing w:before="40" w:after="40" w:line="276" w:lineRule="auto"/>
      </w:pPr>
      <w:r>
        <w:rPr>
          <w:rFonts w:ascii="Calibri" w:hAnsi="Calibri"/>
          <w:b/>
          <w:color w:val="1E293B"/>
          <w:sz w:val="20"/>
        </w:rPr>
        <w:t xml:space="preserve">Agentic Architecture &amp; Workflow: </w:t>
      </w:r>
      <w:r>
        <w:rPr>
          <w:rFonts w:ascii="Calibri" w:hAnsi="Calibri"/>
          <w:color w:val="334155"/>
          <w:sz w:val="20"/>
        </w:rPr>
        <w:t>ARIA operates as an automated diagnostic triage engine. It takes the reported symptoms, expected amount, actual amount, and filter context. It evaluates a multi-layer decision tree, calculates variance severity (P1/P2/P3), isolates the probable layer of fault (Power BI DAX vs. SQL Data Warehouse vs. ETL), automatically generates executable SQL diagnostic scripts, and drafts a ready-to-use Jira defect ticket and an executive stakeholder email update.</w:t>
      </w:r>
    </w:p>
    <w:p>
      <w:pPr>
        <w:pStyle w:val="ListBullet"/>
        <w:spacing w:before="40" w:after="40" w:line="276" w:lineRule="auto"/>
      </w:pPr>
      <w:r>
        <w:rPr>
          <w:rFonts w:ascii="Calibri" w:hAnsi="Calibri"/>
          <w:b/>
          <w:color w:val="1E293B"/>
          <w:sz w:val="20"/>
        </w:rPr>
        <w:t xml:space="preserve">Business Analyst's Role &amp; Contribution: </w:t>
      </w:r>
      <w:r>
        <w:rPr>
          <w:rFonts w:ascii="Calibri" w:hAnsi="Calibri"/>
          <w:color w:val="334155"/>
          <w:sz w:val="20"/>
        </w:rPr>
        <w:t>Codified 7+ years of Capgemini reporting and testing triage heuristics into a structured diagnostic engine; authored the SQL verification templates and Jira acceptance criteria standards.</w:t>
      </w:r>
    </w:p>
    <w:p>
      <w:pPr>
        <w:pStyle w:val="ListBullet"/>
        <w:spacing w:before="40" w:after="40" w:line="276" w:lineRule="auto"/>
      </w:pPr>
      <w:r>
        <w:rPr>
          <w:rFonts w:ascii="Calibri" w:hAnsi="Calibri"/>
          <w:b/>
          <w:color w:val="1E293B"/>
          <w:sz w:val="20"/>
        </w:rPr>
        <w:t xml:space="preserve">Quantified Enterprise ROI: </w:t>
      </w:r>
      <w:r>
        <w:rPr>
          <w:rFonts w:ascii="Calibri" w:hAnsi="Calibri"/>
          <w:color w:val="334155"/>
          <w:sz w:val="20"/>
        </w:rPr>
        <w:t>Reduces support defect triage time (MTTR) by 70%; prevents duplicate developer investigations; ensures transparent, proactive communication with finance executives within minutes of ticket receipt.</w:t>
      </w:r>
    </w:p>
    <w:p>
      <w:pPr>
        <w:keepNext/>
        <w:spacing w:before="240" w:after="80"/>
        <w:pBdr>
          <w:bottom w:val="single" w:sz="12" w:space="4" w:color="0D3B66"/>
        </w:pBdr>
      </w:pPr>
      <w:r>
        <w:rPr>
          <w:rFonts w:ascii="Calibri" w:hAnsi="Calibri"/>
          <w:b/>
          <w:color w:val="0D3B66"/>
          <w:sz w:val="30"/>
        </w:rPr>
        <w:t>4. PROJECT 3: WEBSITE &amp; MARKET INTELLIGENCE SUMMARISATION AGENT</w:t>
      </w:r>
    </w:p>
    <w:p>
      <w:pPr>
        <w:pStyle w:val="ListBullet"/>
        <w:spacing w:before="40" w:after="40" w:line="276" w:lineRule="auto"/>
      </w:pPr>
      <w:r>
        <w:rPr>
          <w:rFonts w:ascii="Calibri" w:hAnsi="Calibri"/>
          <w:b/>
          <w:color w:val="1E293B"/>
          <w:sz w:val="20"/>
        </w:rPr>
        <w:t xml:space="preserve">Enterprise Problem Statement: </w:t>
      </w:r>
      <w:r>
        <w:rPr>
          <w:rFonts w:ascii="Calibri" w:hAnsi="Calibri"/>
          <w:color w:val="334155"/>
          <w:sz w:val="20"/>
        </w:rPr>
        <w:t>Business analysts and strategy teams spend extensive hours reading 40-page regulatory filings (SEC, IFRS, ESG), competitor financial announcements, and technology whitepapers to evaluate market shifts and adjust forecasting assumptions.</w:t>
      </w:r>
    </w:p>
    <w:p>
      <w:pPr>
        <w:pStyle w:val="ListBullet"/>
        <w:spacing w:before="40" w:after="40" w:line="276" w:lineRule="auto"/>
      </w:pPr>
      <w:r>
        <w:rPr>
          <w:rFonts w:ascii="Calibri" w:hAnsi="Calibri"/>
          <w:b/>
          <w:color w:val="1E293B"/>
          <w:sz w:val="20"/>
        </w:rPr>
        <w:t xml:space="preserve">Agentic Architecture &amp; Workflow: </w:t>
      </w:r>
      <w:r>
        <w:rPr>
          <w:rFonts w:ascii="Calibri" w:hAnsi="Calibri"/>
          <w:color w:val="334155"/>
          <w:sz w:val="20"/>
        </w:rPr>
        <w:t>Accepts any web URL or raw text, strips boilerplate navigation/scripts using BeautifulSoup, isolates core paragraphs, and executes an analytical synthesis pipeline. Produces 5 standardized enterprise sections: Executive Snapshot, Core Findings, Strategic &amp; Operational Implications, Risk &amp; Governance Considerations, and Actionable Next Steps.</w:t>
      </w:r>
    </w:p>
    <w:p>
      <w:pPr>
        <w:pStyle w:val="ListBullet"/>
        <w:spacing w:before="40" w:after="40" w:line="276" w:lineRule="auto"/>
      </w:pPr>
      <w:r>
        <w:rPr>
          <w:rFonts w:ascii="Calibri" w:hAnsi="Calibri"/>
          <w:b/>
          <w:color w:val="1E293B"/>
          <w:sz w:val="20"/>
        </w:rPr>
        <w:t xml:space="preserve">Business Analyst's Role &amp; Contribution: </w:t>
      </w:r>
      <w:r>
        <w:rPr>
          <w:rFonts w:ascii="Calibri" w:hAnsi="Calibri"/>
          <w:color w:val="334155"/>
          <w:sz w:val="20"/>
        </w:rPr>
        <w:t>Designed the analytical information architecture to ensure the output aligns with executive briefing standards rather than generic consumer summaries; integrated human-in-the-loop review capabilities.</w:t>
      </w:r>
    </w:p>
    <w:p>
      <w:pPr>
        <w:pStyle w:val="ListBullet"/>
        <w:spacing w:before="40" w:after="40" w:line="276" w:lineRule="auto"/>
      </w:pPr>
      <w:r>
        <w:rPr>
          <w:rFonts w:ascii="Calibri" w:hAnsi="Calibri"/>
          <w:b/>
          <w:color w:val="1E293B"/>
          <w:sz w:val="20"/>
        </w:rPr>
        <w:t xml:space="preserve">Quantified Enterprise ROI: </w:t>
      </w:r>
      <w:r>
        <w:rPr>
          <w:rFonts w:ascii="Calibri" w:hAnsi="Calibri"/>
          <w:color w:val="334155"/>
          <w:sz w:val="20"/>
        </w:rPr>
        <w:t>Cuts external research and document analysis time by 75%; allows instant synthesis of competitor earnings releases and regulatory disclosures.</w:t>
      </w:r>
    </w:p>
    <w:p>
      <w:pPr>
        <w:keepNext/>
        <w:spacing w:before="240" w:after="80"/>
        <w:pBdr>
          <w:bottom w:val="single" w:sz="12" w:space="4" w:color="0D3B66"/>
        </w:pBdr>
      </w:pPr>
      <w:r>
        <w:rPr>
          <w:rFonts w:ascii="Calibri" w:hAnsi="Calibri"/>
          <w:b/>
          <w:color w:val="0D3B66"/>
          <w:sz w:val="30"/>
        </w:rPr>
        <w:t>5. ENTERPRISE GOVERNANCE, SECURITY &amp; HUMAN-IN-THE-LOOP DESIGN</w:t>
      </w:r>
    </w:p>
    <w:p>
      <w:pPr>
        <w:spacing w:line="276" w:lineRule="auto"/>
      </w:pPr>
      <w:r>
        <w:rPr>
          <w:rFonts w:ascii="Calibri" w:hAnsi="Calibri"/>
          <w:sz w:val="20"/>
        </w:rPr>
        <w:t>To deploy AI agents successfully in conservative enterprise environments (such as Tier-1 Banks, Healthcare, and Public Sector), governance and compliance must be built in from day one:</w:t>
        <w:br/>
        <w:t>1. Deterministic Calculation Guardrails: All mathematical computations (variance $, variance %, EBITDA) are computed using deterministic Python/Pandas logic, never hallucinated by an LLM.</w:t>
        <w:br/>
        <w:t>2. Data Privacy &amp; Confidentiality: The system operates on anonymized or local data schemas, ensuring no proprietary financial records are transmitted to unauthorized public model endpoints.</w:t>
        <w:br/>
        <w:t>3. Human-in-the-Loop Review: Agentic outputs (Jira tickets, stakeholder emails, executive briefings) are structured as drafts requiring Business Analyst validation before being broadcast to leadership.</w:t>
        <w:br/>
        <w:t>4. Auditability &amp; Lineage: Every diagnostic SQL query generated includes explicit metadata, ticket references, and execution rationale.</w:t>
      </w:r>
    </w:p>
    <w:p>
      <w:pPr>
        <w:keepNext/>
        <w:spacing w:before="240" w:after="80"/>
        <w:pBdr>
          <w:bottom w:val="single" w:sz="12" w:space="4" w:color="0D3B66"/>
        </w:pBdr>
      </w:pPr>
      <w:r>
        <w:rPr>
          <w:rFonts w:ascii="Calibri" w:hAnsi="Calibri"/>
          <w:b/>
          <w:color w:val="0D3B66"/>
          <w:sz w:val="30"/>
        </w:rPr>
        <w:t>6. INTERVIEW SCRIPTS &amp; STRATEGIC POSITIONING MASTERCLASS</w:t>
      </w:r>
    </w:p>
    <w:p>
      <w:pPr>
        <w:pStyle w:val="ListBullet"/>
        <w:spacing w:before="40" w:after="40" w:line="276" w:lineRule="auto"/>
      </w:pPr>
      <w:r>
        <w:rPr>
          <w:rFonts w:ascii="Calibri" w:hAnsi="Calibri"/>
          <w:b/>
          <w:color w:val="1E293B"/>
          <w:sz w:val="20"/>
        </w:rPr>
        <w:t>Question: 'Tell me about yourself.'</w:t>
        <w:br/>
      </w:r>
      <w:r>
        <w:rPr>
          <w:rFonts w:ascii="Calibri" w:hAnsi="Calibri"/>
          <w:color w:val="334155"/>
          <w:sz w:val="20"/>
        </w:rPr>
        <w:t>"I am a Senior Business Analyst with over 7 years of enterprise experience at Capgemini, specializing in financial forecasting, reporting platforms, and data migration. Throughout my career, I've gathered requirements, designed Power BI and SQL data models, and conducted variance analysis for multi-million-dollar portfolios. What distinguishes my profile is how I apply agentic AI to these exact enterprise challenges: rather than waiting for external data science teams, I prototype Python and Gradio-based AI agents—such as Dashboard Insights and Autonomous Reporting Investigation assistants—that automate reporting triage, accelerate KPI analysis, and bridge the gap between business leadership and technical development."</w:t>
      </w:r>
    </w:p>
    <w:p>
      <w:pPr>
        <w:pStyle w:val="ListBullet"/>
        <w:spacing w:before="40" w:after="40" w:line="276" w:lineRule="auto"/>
      </w:pPr>
      <w:r>
        <w:rPr>
          <w:rFonts w:ascii="Calibri" w:hAnsi="Calibri"/>
          <w:b/>
          <w:color w:val="1E293B"/>
          <w:sz w:val="20"/>
        </w:rPr>
        <w:t>Question: 'Why shouldn't we hire a specialized AI Engineer instead?'</w:t>
        <w:br/>
      </w:r>
      <w:r>
        <w:rPr>
          <w:rFonts w:ascii="Calibri" w:hAnsi="Calibri"/>
          <w:color w:val="334155"/>
          <w:sz w:val="20"/>
        </w:rPr>
        <w:t>"If your goal is training transformer architectures from scratch, you need an AI research engineer. But if your goal is solving reporting bottlenecks, reconciling financial data, and accelerating business decisions, an AI engineer doesn't understand DAX filter contexts, unbilled WIP aging, or why an ERP variance impacts quarterly forecasting. I bring 7+ years of deep enterprise domain knowledge in reporting and financial operations, coupled with the ability to define, prototype, and govern agentic AI solutions that solve tangible business problems on day one."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