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512"/>
      </w:tblGrid>
      <w:tr>
        <w:tc>
          <w:tcPr>
            <w:tcW w:type="dxa" w:w="10512"/>
            <w:shd w:fill="0D3B66"/>
            <w:tcMar>
              <w:top w:w="200" w:type="dxa"/>
              <w:bottom w:w="200" w:type="dxa"/>
              <w:left w:w="240" w:type="dxa"/>
              <w:right w:w="240" w:type="dxa"/>
            </w:tcMar>
          </w:tcPr>
          <w:p>
            <w:pPr>
              <w:jc w:val="center"/>
            </w:pPr>
            <w:r>
              <w:rPr>
                <w:rFonts w:ascii="Calibri" w:hAnsi="Calibri"/>
                <w:b/>
                <w:color w:val="FFFFFF"/>
                <w:sz w:val="32"/>
              </w:rPr>
              <w:t>SENIOR BUSINESS ANALYST | ENTERPRISE AI SOLUTIONS</w:t>
              <w:br/>
            </w:r>
            <w:r>
              <w:rPr>
                <w:rFonts w:ascii="Calibri" w:hAnsi="Calibri"/>
                <w:color w:val="D1E3FF"/>
                <w:sz w:val="22"/>
              </w:rPr>
              <w:t>Reporting Transformation • Financial Forecasting &amp; Operations • Agentic AI Prototyping</w:t>
              <w:br/>
            </w:r>
            <w:r>
              <w:rPr>
                <w:rFonts w:ascii="Calibri" w:hAnsi="Calibri"/>
                <w:color w:val="FFFFFF"/>
                <w:sz w:val="19"/>
              </w:rPr>
              <w:t>Mumbai / Thane / Palghar, Maharashtra, India  •  7+ Years Experience at Capgemini India</w:t>
            </w:r>
          </w:p>
        </w:tc>
      </w:tr>
    </w:tbl>
    <w:p>
      <w:pPr>
        <w:spacing w:before="80"/>
      </w:pPr>
    </w:p>
    <w:p>
      <w:pPr>
        <w:keepNext/>
        <w:spacing w:before="240" w:after="80"/>
        <w:pBdr>
          <w:bottom w:val="single" w:sz="12" w:space="4" w:color="0D3B66"/>
        </w:pBdr>
      </w:pPr>
      <w:r>
        <w:rPr>
          <w:rFonts w:ascii="Calibri" w:hAnsi="Calibri"/>
          <w:b/>
          <w:color w:val="0D3B66"/>
          <w:sz w:val="30"/>
        </w:rPr>
        <w:t>PROFESSIONAL PROFILE &amp; POSITIONING</w:t>
      </w:r>
    </w:p>
    <w:p>
      <w:pPr>
        <w:spacing w:before="60" w:after="120" w:line="276" w:lineRule="auto"/>
      </w:pPr>
      <w:r>
        <w:rPr>
          <w:rFonts w:ascii="Calibri" w:hAnsi="Calibri"/>
          <w:color w:val="334155"/>
          <w:sz w:val="20"/>
        </w:rPr>
        <w:t>Accomplished Senior Business Analyst with 7+ years of progressive enterprise experience at Capgemini India, specializing in reporting platforms, financial forecasting transformation, and multi-tier data migration. Pioneers a high-impact enterprise profile: positioning business analysis as the foundational bridge between complex reporting bottlenecks and agentic AI automation. Possesses deep functional mastery over Power BI dashboards, SQL data models, financial variance analysis, and service-desk defect triage, paired with practical capabilities in prototyping Python/Gradio AI agents (Dashboard Insights, Reporting Investigation, and Market Intelligence). Adept at translating complex executive requirements into airtight functional specifications and leading cross-functional teams to eliminate reporting latency and uphold bulletproof data integrity.</w:t>
      </w:r>
    </w:p>
    <w:p>
      <w:pPr>
        <w:keepNext/>
        <w:spacing w:before="240" w:after="80"/>
        <w:pBdr>
          <w:bottom w:val="single" w:sz="12" w:space="4" w:color="0D3B66"/>
        </w:pBdr>
      </w:pPr>
      <w:r>
        <w:rPr>
          <w:rFonts w:ascii="Calibri" w:hAnsi="Calibri"/>
          <w:b/>
          <w:color w:val="0D3B66"/>
          <w:sz w:val="30"/>
        </w:rPr>
        <w:t>CORE COMPETENCIES &amp; TECHNICAL EXPERTISE</w:t>
      </w:r>
    </w:p>
    <w:tbl>
      <w:tblPr>
        <w:tblW w:type="auto" w:w="0"/>
        <w:jc w:val="center"/>
        <w:tblLook w:firstColumn="1" w:firstRow="1" w:lastColumn="0" w:lastRow="0" w:noHBand="0" w:noVBand="1" w:val="04A0"/>
      </w:tblPr>
      <w:tblGrid>
        <w:gridCol w:w="5256"/>
        <w:gridCol w:w="5256"/>
      </w:tblGrid>
      <w:tr>
        <w:tc>
          <w:tcPr>
            <w:tcW w:type="dxa" w:w="3168"/>
            <w:shd w:fill="F1F5F9"/>
            <w:tcMar>
              <w:top w:w="60" w:type="dxa"/>
              <w:bottom w:w="60" w:type="dxa"/>
              <w:left w:w="100" w:type="dxa"/>
              <w:right w:w="100" w:type="dxa"/>
            </w:tcMar>
          </w:tcPr>
          <w:p>
            <w:r>
              <w:rPr>
                <w:rFonts w:ascii="Calibri" w:hAnsi="Calibri"/>
                <w:b/>
                <w:color w:val="0D3B66"/>
                <w:sz w:val="19"/>
              </w:rPr>
              <w:t>Business Analysis &amp; Requirements</w:t>
            </w:r>
          </w:p>
        </w:tc>
        <w:tc>
          <w:tcPr>
            <w:tcW w:type="dxa" w:w="7344"/>
            <w:shd w:fill="F8FAFC"/>
            <w:tcMar>
              <w:top w:w="60" w:type="dxa"/>
              <w:bottom w:w="60" w:type="dxa"/>
              <w:left w:w="100" w:type="dxa"/>
              <w:right w:w="100" w:type="dxa"/>
            </w:tcMar>
          </w:tcPr>
          <w:p>
            <w:r>
              <w:rPr>
                <w:rFonts w:ascii="Calibri" w:hAnsi="Calibri"/>
                <w:color w:val="334155"/>
                <w:sz w:val="19"/>
              </w:rPr>
              <w:t>Requirements Gathering, BRD/FRD Documentation, Business Logic Mapping, Process Modeling, Functional Walkthroughs, User Acceptance Testing (UAT) Coordination</w:t>
            </w:r>
          </w:p>
        </w:tc>
      </w:tr>
      <w:tr>
        <w:tc>
          <w:tcPr>
            <w:tcW w:type="dxa" w:w="3168"/>
            <w:shd w:fill="FFFFFF"/>
            <w:tcMar>
              <w:top w:w="60" w:type="dxa"/>
              <w:bottom w:w="60" w:type="dxa"/>
              <w:left w:w="100" w:type="dxa"/>
              <w:right w:w="100" w:type="dxa"/>
            </w:tcMar>
          </w:tcPr>
          <w:p>
            <w:r>
              <w:rPr>
                <w:rFonts w:ascii="Calibri" w:hAnsi="Calibri"/>
                <w:b/>
                <w:color w:val="0D3B66"/>
                <w:sz w:val="19"/>
              </w:rPr>
              <w:t>Financial &amp; Variance Analysis</w:t>
            </w:r>
          </w:p>
        </w:tc>
        <w:tc>
          <w:tcPr>
            <w:tcW w:type="dxa" w:w="7344"/>
            <w:shd w:fill="FFFFFF"/>
            <w:tcMar>
              <w:top w:w="60" w:type="dxa"/>
              <w:bottom w:w="60" w:type="dxa"/>
              <w:left w:w="100" w:type="dxa"/>
              <w:right w:w="100" w:type="dxa"/>
            </w:tcMar>
          </w:tcPr>
          <w:p>
            <w:r>
              <w:rPr>
                <w:rFonts w:ascii="Calibri" w:hAnsi="Calibri"/>
                <w:color w:val="334155"/>
                <w:sz w:val="19"/>
              </w:rPr>
              <w:t>Financial Reporting, Forecast vs. Actuals Modeling, Revenue &amp; Cost Variance Attribution, EBITDA Tracking, WIP Aging &amp; Billing Leakage Prevention</w:t>
            </w:r>
          </w:p>
        </w:tc>
      </w:tr>
      <w:tr>
        <w:tc>
          <w:tcPr>
            <w:tcW w:type="dxa" w:w="3168"/>
            <w:shd w:fill="F1F5F9"/>
            <w:tcMar>
              <w:top w:w="60" w:type="dxa"/>
              <w:bottom w:w="60" w:type="dxa"/>
              <w:left w:w="100" w:type="dxa"/>
              <w:right w:w="100" w:type="dxa"/>
            </w:tcMar>
          </w:tcPr>
          <w:p>
            <w:r>
              <w:rPr>
                <w:rFonts w:ascii="Calibri" w:hAnsi="Calibri"/>
                <w:b/>
                <w:color w:val="0D3B66"/>
                <w:sz w:val="19"/>
              </w:rPr>
              <w:t>Enterprise AI Agent Prototyping</w:t>
            </w:r>
          </w:p>
        </w:tc>
        <w:tc>
          <w:tcPr>
            <w:tcW w:type="dxa" w:w="7344"/>
            <w:shd w:fill="F8FAFC"/>
            <w:tcMar>
              <w:top w:w="60" w:type="dxa"/>
              <w:bottom w:w="60" w:type="dxa"/>
              <w:left w:w="100" w:type="dxa"/>
              <w:right w:w="100" w:type="dxa"/>
            </w:tcMar>
          </w:tcPr>
          <w:p>
            <w:r>
              <w:rPr>
                <w:rFonts w:ascii="Calibri" w:hAnsi="Calibri"/>
                <w:color w:val="334155"/>
                <w:sz w:val="19"/>
              </w:rPr>
              <w:t>Agentic Workflow Design, Dashboard Insights Agent, Autonomous Reporting Investigation Assistant, Web Summarisation Agent, Python, Gradio UI, Prompt Scaffolding</w:t>
            </w:r>
          </w:p>
        </w:tc>
      </w:tr>
      <w:tr>
        <w:tc>
          <w:tcPr>
            <w:tcW w:type="dxa" w:w="3168"/>
            <w:shd w:fill="FFFFFF"/>
            <w:tcMar>
              <w:top w:w="60" w:type="dxa"/>
              <w:bottom w:w="60" w:type="dxa"/>
              <w:left w:w="100" w:type="dxa"/>
              <w:right w:w="100" w:type="dxa"/>
            </w:tcMar>
          </w:tcPr>
          <w:p>
            <w:r>
              <w:rPr>
                <w:rFonts w:ascii="Calibri" w:hAnsi="Calibri"/>
                <w:b/>
                <w:color w:val="0D3B66"/>
                <w:sz w:val="19"/>
              </w:rPr>
              <w:t>Reporting &amp; Data Architecture</w:t>
            </w:r>
          </w:p>
        </w:tc>
        <w:tc>
          <w:tcPr>
            <w:tcW w:type="dxa" w:w="7344"/>
            <w:shd w:fill="FFFFFF"/>
            <w:tcMar>
              <w:top w:w="60" w:type="dxa"/>
              <w:bottom w:w="60" w:type="dxa"/>
              <w:left w:w="100" w:type="dxa"/>
              <w:right w:w="100" w:type="dxa"/>
            </w:tcMar>
          </w:tcPr>
          <w:p>
            <w:r>
              <w:rPr>
                <w:rFonts w:ascii="Calibri" w:hAnsi="Calibri"/>
                <w:color w:val="334155"/>
                <w:sz w:val="19"/>
              </w:rPr>
              <w:t>Power BI DAX &amp; Data Modeling, SQL Schema Analysis (Azure SQL/T-SQL), Data Reconciliation, Discrepancy Triage (Report vs DB Layer), Data Quality Assurance</w:t>
            </w:r>
          </w:p>
        </w:tc>
      </w:tr>
      <w:tr>
        <w:tc>
          <w:tcPr>
            <w:tcW w:type="dxa" w:w="3168"/>
            <w:shd w:fill="F1F5F9"/>
            <w:tcMar>
              <w:top w:w="60" w:type="dxa"/>
              <w:bottom w:w="60" w:type="dxa"/>
              <w:left w:w="100" w:type="dxa"/>
              <w:right w:w="100" w:type="dxa"/>
            </w:tcMar>
          </w:tcPr>
          <w:p>
            <w:r>
              <w:rPr>
                <w:rFonts w:ascii="Calibri" w:hAnsi="Calibri"/>
                <w:b/>
                <w:color w:val="0D3B66"/>
                <w:sz w:val="19"/>
              </w:rPr>
              <w:t>Quality Assurance &amp; Leadership</w:t>
            </w:r>
          </w:p>
        </w:tc>
        <w:tc>
          <w:tcPr>
            <w:tcW w:type="dxa" w:w="7344"/>
            <w:shd w:fill="F8FAFC"/>
            <w:tcMar>
              <w:top w:w="60" w:type="dxa"/>
              <w:bottom w:w="60" w:type="dxa"/>
              <w:left w:w="100" w:type="dxa"/>
              <w:right w:w="100" w:type="dxa"/>
            </w:tcMar>
          </w:tcPr>
          <w:p>
            <w:r>
              <w:rPr>
                <w:rFonts w:ascii="Calibri" w:hAnsi="Calibri"/>
                <w:color w:val="334155"/>
                <w:sz w:val="19"/>
              </w:rPr>
              <w:t>Test Planning &amp; Defect Management (Jira/ServiceNow), Cross-Functional Stakeholder Alignment, Data Migration Validation, Continuous Process Optimization</w:t>
            </w:r>
          </w:p>
        </w:tc>
      </w:tr>
    </w:tbl>
    <w:p>
      <w:pPr>
        <w:spacing w:before="80"/>
      </w:pPr>
    </w:p>
    <w:p>
      <w:pPr>
        <w:keepNext/>
        <w:spacing w:before="240" w:after="80"/>
        <w:pBdr>
          <w:bottom w:val="single" w:sz="12" w:space="4" w:color="0D3B66"/>
        </w:pBdr>
      </w:pPr>
      <w:r>
        <w:rPr>
          <w:rFonts w:ascii="Calibri" w:hAnsi="Calibri"/>
          <w:b/>
          <w:color w:val="0D3B66"/>
          <w:sz w:val="30"/>
        </w:rPr>
        <w:t>FEATURED ENTERPRISE AGENTIC AI PROTOTYPES</w:t>
      </w:r>
    </w:p>
    <w:p>
      <w:pPr>
        <w:pStyle w:val="ListBullet"/>
        <w:spacing w:before="40" w:after="40" w:line="276" w:lineRule="auto"/>
      </w:pPr>
      <w:r>
        <w:rPr>
          <w:rFonts w:ascii="Calibri" w:hAnsi="Calibri"/>
          <w:b/>
          <w:color w:val="1E293B"/>
          <w:sz w:val="20"/>
        </w:rPr>
        <w:t xml:space="preserve">Dashboard Insights Agent (Python, Gradio, Pandas): </w:t>
      </w:r>
      <w:r>
        <w:rPr>
          <w:rFonts w:ascii="Calibri" w:hAnsi="Calibri"/>
          <w:color w:val="334155"/>
          <w:sz w:val="20"/>
        </w:rPr>
        <w:t>Architected an autonomous KPI analysis agent that ingests enterprise portfolio datasets, computes net variances against budgets, detects underlying margin/cost drivers, and delivers structured executive briefings with prioritized operational recommendations.</w:t>
      </w:r>
    </w:p>
    <w:p>
      <w:pPr>
        <w:pStyle w:val="ListBullet"/>
        <w:spacing w:before="40" w:after="40" w:line="276" w:lineRule="auto"/>
      </w:pPr>
      <w:r>
        <w:rPr>
          <w:rFonts w:ascii="Calibri" w:hAnsi="Calibri"/>
          <w:b/>
          <w:color w:val="1E293B"/>
          <w:sz w:val="20"/>
        </w:rPr>
        <w:t xml:space="preserve">Autonomous Reporting Investigation Assistant (ARIA): </w:t>
      </w:r>
      <w:r>
        <w:rPr>
          <w:rFonts w:ascii="Calibri" w:hAnsi="Calibri"/>
          <w:color w:val="334155"/>
          <w:sz w:val="20"/>
        </w:rPr>
        <w:t>Designed an enterprise support triage assistant addressing the friction between Power BI visuals and SQL backends. Compares expected vs. actual values, isolates fault layers (DAX filter context vs. SQL joins vs. ETL cutoff), produces executable SQL validation scripts, and writes production-ready Jira tickets and stakeholder memos, reducing diagnostic MTTR by ~70%.</w:t>
      </w:r>
    </w:p>
    <w:p>
      <w:pPr>
        <w:pStyle w:val="ListBullet"/>
        <w:spacing w:before="40" w:after="40" w:line="276" w:lineRule="auto"/>
      </w:pPr>
      <w:r>
        <w:rPr>
          <w:rFonts w:ascii="Calibri" w:hAnsi="Calibri"/>
          <w:b/>
          <w:color w:val="1E293B"/>
          <w:sz w:val="20"/>
        </w:rPr>
        <w:t xml:space="preserve">Enterprise Website &amp; Market Intelligence Summariser: </w:t>
      </w:r>
      <w:r>
        <w:rPr>
          <w:rFonts w:ascii="Calibri" w:hAnsi="Calibri"/>
          <w:color w:val="334155"/>
          <w:sz w:val="20"/>
        </w:rPr>
        <w:t>Constructed a strategic intelligence agent that extracts public/intranet URLs, eliminates web noise, and parses dense regulatory and corporate reports into 5 executive dimensions: Snapshot, Key Findings, Operational Implications, Governance Risks, and Actionable Steps.</w:t>
      </w:r>
    </w:p>
    <w:p>
      <w:pPr>
        <w:spacing w:before="80"/>
      </w:pPr>
    </w:p>
    <w:p>
      <w:pPr>
        <w:keepNext/>
        <w:spacing w:before="240" w:after="80"/>
        <w:pBdr>
          <w:bottom w:val="single" w:sz="12" w:space="4" w:color="0D3B66"/>
        </w:pBdr>
      </w:pPr>
      <w:r>
        <w:rPr>
          <w:rFonts w:ascii="Calibri" w:hAnsi="Calibri"/>
          <w:b/>
          <w:color w:val="0D3B66"/>
          <w:sz w:val="30"/>
        </w:rPr>
        <w:t>PROFESSIONAL EXPERIENCE</w:t>
      </w:r>
    </w:p>
    <w:p>
      <w:pPr>
        <w:spacing w:before="80" w:after="40"/>
      </w:pPr>
      <w:r>
        <w:rPr>
          <w:rFonts w:ascii="Calibri" w:hAnsi="Calibri"/>
          <w:b/>
          <w:color w:val="0D3B66"/>
          <w:sz w:val="24"/>
        </w:rPr>
        <w:t>CAPGEMINI INDIA PVT. LTD.</w:t>
      </w:r>
      <w:r>
        <w:rPr>
          <w:rFonts w:ascii="Calibri" w:hAnsi="Calibri"/>
          <w:b/>
          <w:color w:val="475569"/>
          <w:sz w:val="21"/>
        </w:rPr>
        <w:t xml:space="preserve">  |  Consultant  |  Jan 2019 – Present (7+ Years)</w:t>
      </w:r>
    </w:p>
    <w:p>
      <w:pPr>
        <w:keepNext/>
        <w:spacing w:before="240" w:after="80"/>
      </w:pPr>
      <w:r>
        <w:rPr>
          <w:rFonts w:ascii="Calibri" w:hAnsi="Calibri"/>
          <w:b/>
          <w:color w:val="1E508C"/>
          <w:sz w:val="25"/>
        </w:rPr>
        <w:t>1. Business Analyst — Reporting &amp; Insights Platform (Jan 2026 – Present)</w:t>
      </w:r>
    </w:p>
    <w:p>
      <w:pPr>
        <w:pStyle w:val="ListBullet"/>
        <w:spacing w:before="40" w:after="40" w:line="276" w:lineRule="auto"/>
      </w:pPr>
      <w:r>
        <w:rPr>
          <w:rFonts w:ascii="Calibri" w:hAnsi="Calibri"/>
          <w:b/>
          <w:color w:val="1E293B"/>
          <w:sz w:val="20"/>
        </w:rPr>
        <w:t xml:space="preserve">Requirements Engineering &amp; Specifications: </w:t>
      </w:r>
      <w:r>
        <w:rPr>
          <w:rFonts w:ascii="Calibri" w:hAnsi="Calibri"/>
          <w:color w:val="334155"/>
          <w:sz w:val="20"/>
        </w:rPr>
        <w:t>Spearhead gathering and translating complex business requirements into functional specifications, business logic matrices, and data flow diagrams for enterprise Power BI dashboards and SQL-based data models.</w:t>
      </w:r>
    </w:p>
    <w:p>
      <w:pPr>
        <w:pStyle w:val="ListBullet"/>
        <w:spacing w:before="40" w:after="40" w:line="276" w:lineRule="auto"/>
      </w:pPr>
      <w:r>
        <w:rPr>
          <w:rFonts w:ascii="Calibri" w:hAnsi="Calibri"/>
          <w:b/>
          <w:color w:val="1E293B"/>
          <w:sz w:val="20"/>
        </w:rPr>
        <w:t xml:space="preserve">Financial KPI &amp; Portfolio Insights: </w:t>
      </w:r>
      <w:r>
        <w:rPr>
          <w:rFonts w:ascii="Calibri" w:hAnsi="Calibri"/>
          <w:color w:val="334155"/>
          <w:sz w:val="20"/>
        </w:rPr>
        <w:t>Evaluate multi-million-dollar portfolio metrics across revenue, delivery cost, and EBITDA, creating actionable insights and visualizations for delivery managers and C-suite leadership.</w:t>
      </w:r>
    </w:p>
    <w:p>
      <w:pPr>
        <w:pStyle w:val="ListBullet"/>
        <w:spacing w:before="40" w:after="40" w:line="276" w:lineRule="auto"/>
      </w:pPr>
      <w:r>
        <w:rPr>
          <w:rFonts w:ascii="Calibri" w:hAnsi="Calibri"/>
          <w:b/>
          <w:color w:val="1E293B"/>
          <w:sz w:val="20"/>
        </w:rPr>
        <w:t xml:space="preserve">Reporting Issue Triage &amp; SQL Isolation: </w:t>
      </w:r>
      <w:r>
        <w:rPr>
          <w:rFonts w:ascii="Calibri" w:hAnsi="Calibri"/>
          <w:color w:val="334155"/>
          <w:sz w:val="20"/>
        </w:rPr>
        <w:t>Lead root-cause triage across IT service desk tickets, diagnosing whether reporting discrepancies originate in Power BI DAX calculation context, SQL view logic, or scheduled ETL refresh lags.</w:t>
      </w:r>
    </w:p>
    <w:p>
      <w:pPr>
        <w:pStyle w:val="ListBullet"/>
        <w:spacing w:before="40" w:after="40" w:line="276" w:lineRule="auto"/>
      </w:pPr>
      <w:r>
        <w:rPr>
          <w:rFonts w:ascii="Calibri" w:hAnsi="Calibri"/>
          <w:b/>
          <w:color w:val="1E293B"/>
          <w:sz w:val="20"/>
        </w:rPr>
        <w:t xml:space="preserve">Functional Walkthroughs &amp; Knowledge Transfer: </w:t>
      </w:r>
      <w:r>
        <w:rPr>
          <w:rFonts w:ascii="Calibri" w:hAnsi="Calibri"/>
          <w:color w:val="334155"/>
          <w:sz w:val="20"/>
        </w:rPr>
        <w:t>Conduct structured functional walkthroughs and train global business users on enhanced dashboard features, driving seamless user adoption and high data literacy.</w:t>
      </w:r>
    </w:p>
    <w:p>
      <w:pPr>
        <w:keepNext/>
        <w:spacing w:before="240" w:after="80"/>
      </w:pPr>
      <w:r>
        <w:rPr>
          <w:rFonts w:ascii="Calibri" w:hAnsi="Calibri"/>
          <w:b/>
          <w:color w:val="1E508C"/>
          <w:sz w:val="25"/>
        </w:rPr>
        <w:t>2. Business Analyst — Forecasting Transformation (June 2024 – Dec 2025)</w:t>
      </w:r>
    </w:p>
    <w:p>
      <w:pPr>
        <w:pStyle w:val="ListBullet"/>
        <w:spacing w:before="40" w:after="40" w:line="276" w:lineRule="auto"/>
      </w:pPr>
      <w:r>
        <w:rPr>
          <w:rFonts w:ascii="Calibri" w:hAnsi="Calibri"/>
          <w:b/>
          <w:color w:val="1E293B"/>
          <w:sz w:val="20"/>
        </w:rPr>
        <w:t xml:space="preserve">Forecasting Process Transformation: </w:t>
      </w:r>
      <w:r>
        <w:rPr>
          <w:rFonts w:ascii="Calibri" w:hAnsi="Calibri"/>
          <w:color w:val="334155"/>
          <w:sz w:val="20"/>
        </w:rPr>
        <w:t>Engineered the operational migration from legacy monthly flat forecasting to a high-granularity rolling financial forecast model, vastly improving forward visibility.</w:t>
      </w:r>
    </w:p>
    <w:p>
      <w:pPr>
        <w:pStyle w:val="ListBullet"/>
        <w:spacing w:before="40" w:after="40" w:line="276" w:lineRule="auto"/>
      </w:pPr>
      <w:r>
        <w:rPr>
          <w:rFonts w:ascii="Calibri" w:hAnsi="Calibri"/>
          <w:b/>
          <w:color w:val="1E293B"/>
          <w:sz w:val="20"/>
        </w:rPr>
        <w:t xml:space="preserve">Stakeholder Working Sessions: </w:t>
      </w:r>
      <w:r>
        <w:rPr>
          <w:rFonts w:ascii="Calibri" w:hAnsi="Calibri"/>
          <w:color w:val="334155"/>
          <w:sz w:val="20"/>
        </w:rPr>
        <w:t>Facilitated intensive workshops with project managers and finance heads to establish standardized forecasting procedures and drive 100% process compliance.</w:t>
      </w:r>
    </w:p>
    <w:p>
      <w:pPr>
        <w:pStyle w:val="ListBullet"/>
        <w:spacing w:before="40" w:after="40" w:line="276" w:lineRule="auto"/>
      </w:pPr>
      <w:r>
        <w:rPr>
          <w:rFonts w:ascii="Calibri" w:hAnsi="Calibri"/>
          <w:b/>
          <w:color w:val="1E293B"/>
          <w:sz w:val="20"/>
        </w:rPr>
        <w:t xml:space="preserve">Variance Analysis &amp; Discrepancy Resolution: </w:t>
      </w:r>
      <w:r>
        <w:rPr>
          <w:rFonts w:ascii="Calibri" w:hAnsi="Calibri"/>
          <w:color w:val="334155"/>
          <w:sz w:val="20"/>
        </w:rPr>
        <w:t>Performed multi-system reconciliation across internal ERP and reporting platforms, isolating material variances between actual figures and forecasted baselines.</w:t>
      </w:r>
    </w:p>
    <w:p>
      <w:pPr>
        <w:pStyle w:val="ListBullet"/>
        <w:spacing w:before="40" w:after="40" w:line="276" w:lineRule="auto"/>
      </w:pPr>
      <w:r>
        <w:rPr>
          <w:rFonts w:ascii="Calibri" w:hAnsi="Calibri"/>
          <w:b/>
          <w:color w:val="1E293B"/>
          <w:sz w:val="20"/>
        </w:rPr>
        <w:t xml:space="preserve">Financial Data Integrity: </w:t>
      </w:r>
      <w:r>
        <w:rPr>
          <w:rFonts w:ascii="Calibri" w:hAnsi="Calibri"/>
          <w:color w:val="334155"/>
          <w:sz w:val="20"/>
        </w:rPr>
        <w:t>Instituted cross-validation checkpoints between finance and project delivery teams, ensuring reliable financial data governance across multi-quarter horizons.</w:t>
      </w:r>
    </w:p>
    <w:p>
      <w:pPr>
        <w:keepNext/>
        <w:spacing w:before="240" w:after="80"/>
      </w:pPr>
      <w:r>
        <w:rPr>
          <w:rFonts w:ascii="Calibri" w:hAnsi="Calibri"/>
          <w:b/>
          <w:color w:val="1E508C"/>
          <w:sz w:val="25"/>
        </w:rPr>
        <w:t>3. Project Data Migration &amp; Support Specialist &amp; Test Lead (Jan 2023 – May 2024)</w:t>
      </w:r>
    </w:p>
    <w:p>
      <w:pPr>
        <w:pStyle w:val="ListBullet"/>
        <w:spacing w:before="40" w:after="40" w:line="276" w:lineRule="auto"/>
      </w:pPr>
      <w:r>
        <w:rPr>
          <w:rFonts w:ascii="Calibri" w:hAnsi="Calibri"/>
          <w:b/>
          <w:color w:val="1E293B"/>
          <w:sz w:val="20"/>
        </w:rPr>
        <w:t xml:space="preserve">End-to-End Migration Leadership: </w:t>
      </w:r>
      <w:r>
        <w:rPr>
          <w:rFonts w:ascii="Calibri" w:hAnsi="Calibri"/>
          <w:color w:val="334155"/>
          <w:sz w:val="20"/>
        </w:rPr>
        <w:t>Directed data migration of enterprise project records from legacy tracking systems to a centralized monitoring platform, guaranteeing zero data loss and business continuity.</w:t>
      </w:r>
    </w:p>
    <w:p>
      <w:pPr>
        <w:pStyle w:val="ListBullet"/>
        <w:spacing w:before="40" w:after="40" w:line="276" w:lineRule="auto"/>
      </w:pPr>
      <w:r>
        <w:rPr>
          <w:rFonts w:ascii="Calibri" w:hAnsi="Calibri"/>
          <w:b/>
          <w:color w:val="1E293B"/>
          <w:sz w:val="20"/>
        </w:rPr>
        <w:t xml:space="preserve">Lifecycle &amp; Budget Maintenance: </w:t>
      </w:r>
      <w:r>
        <w:rPr>
          <w:rFonts w:ascii="Calibri" w:hAnsi="Calibri"/>
          <w:color w:val="334155"/>
          <w:sz w:val="20"/>
        </w:rPr>
        <w:t>Administered project lifecycle governance, budget baseline updates, and milestone tracking in compliance with client Master Service Agreements (MSAs).</w:t>
      </w:r>
    </w:p>
    <w:p>
      <w:pPr>
        <w:pStyle w:val="ListBullet"/>
        <w:spacing w:before="40" w:after="40" w:line="276" w:lineRule="auto"/>
      </w:pPr>
      <w:r>
        <w:rPr>
          <w:rFonts w:ascii="Calibri" w:hAnsi="Calibri"/>
          <w:b/>
          <w:color w:val="1E293B"/>
          <w:sz w:val="20"/>
        </w:rPr>
        <w:t xml:space="preserve">Test Planning &amp; Delivery Management: </w:t>
      </w:r>
      <w:r>
        <w:rPr>
          <w:rFonts w:ascii="Calibri" w:hAnsi="Calibri"/>
          <w:color w:val="334155"/>
          <w:sz w:val="20"/>
        </w:rPr>
        <w:t>Spearheaded end-to-end testing cycles as Test Lead, supervising a team of QA engineers, approving test cases, managing defect lifecycles, and driving User Acceptance Testing (UAT).</w:t>
      </w:r>
    </w:p>
    <w:p>
      <w:pPr>
        <w:pStyle w:val="ListBullet"/>
        <w:spacing w:before="40" w:after="40" w:line="276" w:lineRule="auto"/>
      </w:pPr>
      <w:r>
        <w:rPr>
          <w:rFonts w:ascii="Calibri" w:hAnsi="Calibri"/>
          <w:b/>
          <w:color w:val="1E293B"/>
          <w:sz w:val="20"/>
        </w:rPr>
        <w:t xml:space="preserve">Data Integrity &amp; Discrepancy Investigation: </w:t>
      </w:r>
      <w:r>
        <w:rPr>
          <w:rFonts w:ascii="Calibri" w:hAnsi="Calibri"/>
          <w:color w:val="334155"/>
          <w:sz w:val="20"/>
        </w:rPr>
        <w:t>Created automated validation scripts to reconcile migrated balances, identifying and resolving over 250+ data discrepancies across historical billing records.</w:t>
      </w:r>
    </w:p>
    <w:p>
      <w:pPr>
        <w:keepNext/>
        <w:spacing w:before="240" w:after="80"/>
      </w:pPr>
      <w:r>
        <w:rPr>
          <w:rFonts w:ascii="Calibri" w:hAnsi="Calibri"/>
          <w:b/>
          <w:color w:val="1E508C"/>
          <w:sz w:val="25"/>
        </w:rPr>
        <w:t>4. Test Analyst &amp; Financial Operations Analyst (Jan 2019 – Dec 2023)</w:t>
      </w:r>
    </w:p>
    <w:p>
      <w:pPr>
        <w:pStyle w:val="ListBullet"/>
        <w:spacing w:before="40" w:after="40" w:line="276" w:lineRule="auto"/>
      </w:pPr>
      <w:r>
        <w:rPr>
          <w:rFonts w:ascii="Calibri" w:hAnsi="Calibri"/>
          <w:b/>
          <w:color w:val="1E293B"/>
          <w:sz w:val="20"/>
        </w:rPr>
        <w:t xml:space="preserve">BI Dashboard Prototyping: </w:t>
      </w:r>
      <w:r>
        <w:rPr>
          <w:rFonts w:ascii="Calibri" w:hAnsi="Calibri"/>
          <w:color w:val="334155"/>
          <w:sz w:val="20"/>
        </w:rPr>
        <w:t>Conceptualized and built functional prototypes for internal BI reports and performance dashboards, establishing clear reporting requirements for subsequent technical development.</w:t>
      </w:r>
    </w:p>
    <w:p>
      <w:pPr>
        <w:pStyle w:val="ListBullet"/>
        <w:spacing w:before="40" w:after="40" w:line="276" w:lineRule="auto"/>
      </w:pPr>
      <w:r>
        <w:rPr>
          <w:rFonts w:ascii="Calibri" w:hAnsi="Calibri"/>
          <w:b/>
          <w:color w:val="1E293B"/>
          <w:sz w:val="20"/>
        </w:rPr>
        <w:t xml:space="preserve">Functional &amp; UAT Testing: </w:t>
      </w:r>
      <w:r>
        <w:rPr>
          <w:rFonts w:ascii="Calibri" w:hAnsi="Calibri"/>
          <w:color w:val="334155"/>
          <w:sz w:val="20"/>
        </w:rPr>
        <w:t>Executed exhaustive test suites across core business applications, verifying data models, transaction calculations, and user interface workflows.</w:t>
      </w:r>
    </w:p>
    <w:p>
      <w:pPr>
        <w:pStyle w:val="ListBullet"/>
        <w:spacing w:before="40" w:after="40" w:line="276" w:lineRule="auto"/>
      </w:pPr>
      <w:r>
        <w:rPr>
          <w:rFonts w:ascii="Calibri" w:hAnsi="Calibri"/>
          <w:b/>
          <w:color w:val="1E293B"/>
          <w:sz w:val="20"/>
        </w:rPr>
        <w:t xml:space="preserve">Financial Operations &amp; WIP Tracking: </w:t>
      </w:r>
      <w:r>
        <w:rPr>
          <w:rFonts w:ascii="Calibri" w:hAnsi="Calibri"/>
          <w:color w:val="334155"/>
          <w:sz w:val="20"/>
        </w:rPr>
        <w:t>Managed corporate invoicing, expense tracking, and project code allocations; monitored Work in Progress (WIP) and unbilled balances to prevent revenue leakage.</w:t>
      </w:r>
    </w:p>
    <w:p>
      <w:pPr>
        <w:pStyle w:val="ListBullet"/>
        <w:spacing w:before="40" w:after="40" w:line="276" w:lineRule="auto"/>
      </w:pPr>
      <w:r>
        <w:rPr>
          <w:rFonts w:ascii="Calibri" w:hAnsi="Calibri"/>
          <w:b/>
          <w:color w:val="1E293B"/>
          <w:sz w:val="20"/>
        </w:rPr>
        <w:t xml:space="preserve">Process Optimization: </w:t>
      </w:r>
      <w:r>
        <w:rPr>
          <w:rFonts w:ascii="Calibri" w:hAnsi="Calibri"/>
          <w:color w:val="334155"/>
          <w:sz w:val="20"/>
        </w:rPr>
        <w:t>Streamlined repetitive financial reconciliation workflows, reducing monthly close preparation time by 25%.</w:t>
      </w:r>
    </w:p>
    <w:p>
      <w:pPr>
        <w:keepNext/>
        <w:spacing w:before="240" w:after="80"/>
        <w:pBdr>
          <w:bottom w:val="single" w:sz="12" w:space="4" w:color="0D3B66"/>
        </w:pBdr>
      </w:pPr>
      <w:r>
        <w:rPr>
          <w:rFonts w:ascii="Calibri" w:hAnsi="Calibri"/>
          <w:b/>
          <w:color w:val="0D3B66"/>
          <w:sz w:val="30"/>
        </w:rPr>
        <w:t>EDUCATION &amp; CREDENTIALS</w:t>
      </w:r>
    </w:p>
    <w:p>
      <w:pPr>
        <w:spacing w:before="60" w:after="40"/>
      </w:pPr>
      <w:r>
        <w:rPr>
          <w:rFonts w:ascii="Calibri" w:hAnsi="Calibri"/>
          <w:b/>
          <w:color w:val="0D3B66"/>
          <w:sz w:val="21"/>
        </w:rPr>
        <w:t>Bachelor of Engineering (B.E.) in Information Technology</w:t>
        <w:br/>
      </w:r>
      <w:r>
        <w:rPr>
          <w:rFonts w:ascii="Calibri" w:hAnsi="Calibri"/>
          <w:color w:val="475569"/>
          <w:sz w:val="19"/>
        </w:rPr>
        <w:t>Theem College of Engineering, Palghar (University of Mumbai)  |  July 2013 – May 2017</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