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04a91b89e4624b18" /></Relationships>
</file>

<file path=word/document.xml><?xml version="1.0" encoding="utf-8"?>
<w:document xmlns:w="http://schemas.openxmlformats.org/wordprocessingml/2006/main">
  <w:body>
    <w:p>
      <w:pPr>
        <w:pStyle w:val="Heading1"/>
      </w:pPr>
      <w:r>
        <w:t xml:space="preserve">Acme Corp — Invoice INV-2026-0417</w:t>
      </w:r>
    </w:p>
    <w:p>
      <w:pPr>
        <w:pStyle w:val="Normal"/>
      </w:pPr>
      <w:r>
        <w:rPr>
          <w:b/>
        </w:rPr>
        <w:t xml:space="preserve">Billed to:</w:t>
      </w:r>
      <w:r>
        <w:t xml:space="preserve"> Contoso Ltd · 42 Example Way, Springfield</w:t>
      </w:r>
      <w:r>
        <w:br/>
      </w:r>
      <w:r>
        <w:rPr>
          <w:i/>
        </w:rPr>
        <w:t xml:space="preserve">Issued</w:t>
      </w:r>
      <w:r>
        <w:t xml:space="preserve"> 2026-07-28 · </w:t>
      </w:r>
      <w:r>
        <w:rPr>
          <w:i/>
        </w:rPr>
        <w:t xml:space="preserve">Due</w:t>
      </w:r>
      <w:r>
        <w:t xml:space="preserve"> 2026-08-27</w:t>
      </w:r>
    </w:p>
    <w:p>
      <w:pPr>
        <w:pStyle w:val="Normal"/>
        <w:pBdr>
          <w:top w:val="single" w:sz="4"/>
        </w:pBdr>
      </w:pPr>
      <w:r/>
    </w:p>
    <w:p>
      <w:pPr>
        <w:pStyle w:val="Heading2"/>
      </w:pPr>
      <w:r>
        <w:t xml:space="preserve">Summary</w:t>
      </w:r>
    </w:p>
    <w:p>
      <w:pPr>
        <w:pStyle w:val="Normal"/>
      </w:pPr>
      <w:r>
        <w:t xml:space="preserve">This invoice covers </w:t>
      </w:r>
      <w:r>
        <w:rPr>
          <w:b/>
        </w:rPr>
        <w:t xml:space="preserve">professional services</w:t>
      </w:r>
      <w:r>
        <w:t xml:space="preserve"> delivered in July 2026, including </w:t>
      </w:r>
      <w:r>
        <w:rPr>
          <w:i/>
        </w:rPr>
        <w:t xml:space="preserve">discovery</w:t>
      </w:r>
      <w:r>
        <w:t xml:space="preserve">, </w:t>
      </w:r>
      <w:r>
        <w:rPr>
          <w:u w:val="single"/>
        </w:rPr>
        <w:t xml:space="preserve">implementation</w:t>
      </w:r>
      <w:r>
        <w:t xml:space="preserve">, and </w:t>
      </w:r>
      <w:r>
        <w:rPr>
          <w:strike/>
        </w:rPr>
        <w:t xml:space="preserve">on-site training</w:t>
      </w:r>
      <w:r>
        <w:t xml:space="preserve"> (cancelled). Questions go to </w:t>
      </w:r>
      <w:hyperlink xmlns:r="http://schemas.openxmlformats.org/officeDocument/2006/relationships" w:history="true" r:id="R509fd914d8204169">
        <w:r>
          <w:rPr>
            <w:rStyle w:val="Hyperlink"/>
          </w:rPr>
          <w:t xml:space="preserve">our billing portal</w:t>
        </w:r>
      </w:hyperlink>
      <w:r>
        <w:t xml:space="preserve">.</w:t>
      </w:r>
    </w:p>
    <w:p>
      <w:pPr>
        <w:pStyle w:val="Normal"/>
      </w:pPr>
      <w:r>
        <w:t xml:space="preserve">Payment terms are net 30. Late payments accrue 1.5% monthly interest.</w:t>
      </w:r>
    </w:p>
    <w:p>
      <w:pPr>
        <w:pStyle w:val="Heading2"/>
      </w:pPr>
      <w:r>
        <w:t xml:space="preserve">Line items</w:t>
      </w:r>
    </w:p>
    <w:tbl>
      <w:tblPr>
        <w:tblStyle w:val="TableGrid"/>
        <w:tblW w:w="5000" w:type="pct"/>
        <w:tblCellMar>
          <w:top w:w="90" w:type="dxa"/>
          <w:left w:w="90" w:type="dxa"/>
          <w:bottom w:w="90" w:type="dxa"/>
          <w:right w:w="90" w:type="dxa"/>
        </w:tblCellMar>
      </w:tblPr>
      <w:tblGrid>
        <w:gridCol/>
        <w:gridCol/>
        <w:gridCol/>
        <w:gridCol/>
      </w:tblGrid>
      <w:tr>
        <w:trPr/>
        <w:tc>
          <w:tcPr>
            <w:shd w:val="clear" w:color="auto" w:fill="EEEEEE"/>
            <w:vAlign w:val="center"/>
          </w:tcPr>
          <w:p>
            <w:pPr>
              <w:pStyle w:val="Normal"/>
              <w:keepNext/>
              <w:jc w:val="left"/>
            </w:pPr>
            <w:r>
              <w:t xml:space="preserve">Description</w:t>
            </w:r>
          </w:p>
        </w:tc>
        <w:tc>
          <w:tcPr>
            <w:shd w:val="clear" w:color="auto" w:fill="EEEEEE"/>
            <w:vAlign w:val="center"/>
          </w:tcPr>
          <w:p>
            <w:pPr>
              <w:pStyle w:val="Normal"/>
              <w:keepNext/>
              <w:jc w:val="right"/>
            </w:pPr>
            <w:r>
              <w:t xml:space="preserve">Qty</w:t>
            </w:r>
          </w:p>
        </w:tc>
        <w:tc>
          <w:tcPr>
            <w:shd w:val="clear" w:color="auto" w:fill="EEEEEE"/>
            <w:vAlign w:val="center"/>
          </w:tcPr>
          <w:p>
            <w:pPr>
              <w:pStyle w:val="Normal"/>
              <w:keepNext/>
              <w:jc w:val="right"/>
            </w:pPr>
            <w:r>
              <w:t xml:space="preserve">Rate</w:t>
            </w:r>
          </w:p>
        </w:tc>
        <w:tc>
          <w:tcPr>
            <w:shd w:val="clear" w:color="auto" w:fill="EEEEEE"/>
            <w:vAlign w:val="center"/>
          </w:tcPr>
          <w:p>
            <w:pPr>
              <w:pStyle w:val="Normal"/>
              <w:keepNext/>
              <w:jc w:val="right"/>
            </w:pPr>
            <w:r>
              <w:t xml:space="preserve">Amount</w:t>
            </w:r>
          </w:p>
        </w:tc>
      </w:tr>
      <w:tr>
        <w:trPr/>
        <w:tc>
          <w:tcPr>
            <w:vAlign w:val="center"/>
          </w:tcPr>
          <w:p>
            <w:pPr>
              <w:pStyle w:val="Normal"/>
            </w:pPr>
            <w:r>
              <w:t xml:space="preserve">Discovery workshop</w:t>
            </w:r>
          </w:p>
        </w:tc>
        <w:tc>
          <w:tcPr>
            <w:vAlign w:val="center"/>
          </w:tcPr>
          <w:p>
            <w:pPr>
              <w:pStyle w:val="Normal"/>
              <w:keepNext/>
              <w:jc w:val="right"/>
            </w:pPr>
            <w:r>
              <w:t xml:space="preserve">2</w:t>
            </w:r>
          </w:p>
        </w:tc>
        <w:tc>
          <w:tcPr>
            <w:vAlign w:val="center"/>
          </w:tcPr>
          <w:p>
            <w:pPr>
              <w:pStyle w:val="Normal"/>
              <w:keepNext/>
              <w:jc w:val="right"/>
            </w:pPr>
            <w:r>
              <w:t xml:space="preserve">$1,200.00</w:t>
            </w:r>
          </w:p>
        </w:tc>
        <w:tc>
          <w:tcPr>
            <w:vAlign w:val="center"/>
          </w:tcPr>
          <w:p>
            <w:pPr>
              <w:pStyle w:val="Normal"/>
              <w:keepNext/>
              <w:jc w:val="right"/>
            </w:pPr>
            <w:r>
              <w:t xml:space="preserve">$2,400.00</w:t>
            </w:r>
          </w:p>
        </w:tc>
      </w:tr>
      <w:tr>
        <w:trPr/>
        <w:tc>
          <w:tcPr>
            <w:vAlign w:val="center"/>
          </w:tcPr>
          <w:p>
            <w:pPr>
              <w:pStyle w:val="Normal"/>
            </w:pPr>
            <w:r>
              <w:t xml:space="preserve">Implementation — phase 1</w:t>
            </w:r>
          </w:p>
        </w:tc>
        <w:tc>
          <w:tcPr>
            <w:vAlign w:val="center"/>
          </w:tcPr>
          <w:p>
            <w:pPr>
              <w:pStyle w:val="Normal"/>
              <w:keepNext/>
              <w:jc w:val="right"/>
            </w:pPr>
            <w:r>
              <w:t xml:space="preserve">14</w:t>
            </w:r>
          </w:p>
        </w:tc>
        <w:tc>
          <w:tcPr>
            <w:vAlign w:val="center"/>
          </w:tcPr>
          <w:p>
            <w:pPr>
              <w:pStyle w:val="Normal"/>
              <w:keepNext/>
              <w:jc w:val="right"/>
            </w:pPr>
            <w:r>
              <w:t xml:space="preserve">$950.00</w:t>
            </w:r>
          </w:p>
        </w:tc>
        <w:tc>
          <w:tcPr>
            <w:vAlign w:val="center"/>
          </w:tcPr>
          <w:p>
            <w:pPr>
              <w:pStyle w:val="Normal"/>
              <w:keepNext/>
              <w:jc w:val="right"/>
            </w:pPr>
            <w:r>
              <w:t xml:space="preserve">$13,300.00</w:t>
            </w:r>
          </w:p>
        </w:tc>
      </w:tr>
      <w:tr>
        <w:trPr/>
        <w:tc>
          <w:tcPr>
            <w:vAlign w:val="center"/>
          </w:tcPr>
          <w:p>
            <w:pPr>
              <w:pStyle w:val="Normal"/>
            </w:pPr>
            <w:r>
              <w:t xml:space="preserve">Documentation &amp; handover</w:t>
            </w:r>
          </w:p>
        </w:tc>
        <w:tc>
          <w:tcPr>
            <w:vAlign w:val="center"/>
          </w:tcPr>
          <w:p>
            <w:pPr>
              <w:pStyle w:val="Normal"/>
              <w:keepNext/>
              <w:jc w:val="right"/>
            </w:pPr>
            <w:r>
              <w:t xml:space="preserve">3</w:t>
            </w:r>
          </w:p>
        </w:tc>
        <w:tc>
          <w:tcPr>
            <w:vAlign w:val="center"/>
          </w:tcPr>
          <w:p>
            <w:pPr>
              <w:pStyle w:val="Normal"/>
              <w:keepNext/>
              <w:jc w:val="right"/>
            </w:pPr>
            <w:r>
              <w:t xml:space="preserve">$800.00</w:t>
            </w:r>
          </w:p>
        </w:tc>
        <w:tc>
          <w:tcPr>
            <w:vAlign w:val="center"/>
          </w:tcPr>
          <w:p>
            <w:pPr>
              <w:pStyle w:val="Normal"/>
              <w:keepNext/>
              <w:jc w:val="right"/>
            </w:pPr>
            <w:r>
              <w:t xml:space="preserve">$2,400.00</w:t>
            </w:r>
          </w:p>
        </w:tc>
      </w:tr>
      <w:tr>
        <w:trPr/>
        <w:tc>
          <w:tcPr>
            <w:gridSpan w:val="3"/>
            <w:shd w:val="clear" w:color="auto" w:fill="F7F7F7"/>
            <w:vAlign w:val="center"/>
          </w:tcPr>
          <w:p>
            <w:pPr>
              <w:pStyle w:val="Normal"/>
              <w:keepNext/>
              <w:jc w:val="right"/>
            </w:pPr>
            <w:r>
              <w:rPr>
                <w:b/>
              </w:rPr>
              <w:t xml:space="preserve">Total due</w:t>
            </w:r>
          </w:p>
        </w:tc>
        <w:tc>
          <w:tcPr>
            <w:shd w:val="clear" w:color="auto" w:fill="F7F7F7"/>
            <w:vAlign w:val="center"/>
          </w:tcPr>
          <w:p>
            <w:pPr>
              <w:pStyle w:val="Normal"/>
              <w:keepNext/>
              <w:jc w:val="right"/>
            </w:pPr>
            <w:r>
              <w:rPr>
                <w:b/>
              </w:rPr>
              <w:t xml:space="preserve">$18,100.00</w:t>
            </w:r>
          </w:p>
        </w:tc>
      </w:tr>
    </w:tbl>
    <w:p>
      <w:pPr>
        <w:pStyle w:val="Heading2"/>
      </w:pPr>
      <w:r>
        <w:t xml:space="preserve">Scope delivered</w:t>
      </w:r>
    </w:p>
    <w:p>
      <w:pPr>
        <w:pStyle w:val="ListParagraph"/>
        <w:numPr>
          <w:ilvl w:val="0"/>
          <w:numId w:val="2"/>
        </w:numPr>
      </w:pPr>
      <w:r>
        <w:t xml:space="preserve">Requirements discovery</w:t>
      </w:r>
    </w:p>
    <w:p>
      <w:pPr>
        <w:pStyle w:val="ListParagraph"/>
        <w:numPr>
          <w:ilvl w:val="1"/>
          <w:numId w:val="2"/>
        </w:numPr>
      </w:pPr>
      <w:r>
        <w:t xml:space="preserve">Stakeholder interviews</w:t>
      </w:r>
    </w:p>
    <w:p>
      <w:pPr>
        <w:pStyle w:val="ListParagraph"/>
        <w:numPr>
          <w:ilvl w:val="1"/>
          <w:numId w:val="2"/>
        </w:numPr>
      </w:pPr>
      <w:r>
        <w:t xml:space="preserve">Systems audit</w:t>
      </w:r>
    </w:p>
    <w:p>
      <w:pPr>
        <w:pStyle w:val="ListParagraph"/>
        <w:numPr>
          <w:ilvl w:val="0"/>
          <w:numId w:val="2"/>
        </w:numPr>
      </w:pPr>
      <w:r>
        <w:t xml:space="preserve">Implementation</w:t>
      </w:r>
    </w:p>
    <w:p>
      <w:pPr>
        <w:pStyle w:val="ListParagraph"/>
        <w:numPr>
          <w:ilvl w:val="0"/>
          <w:numId w:val="2"/>
        </w:numPr>
      </w:pPr>
      <w:r>
        <w:t xml:space="preserve">Handover documentation</w:t>
      </w:r>
    </w:p>
    <w:p>
      <w:pPr>
        <w:pStyle w:val="Heading3"/>
      </w:pPr>
      <w:r>
        <w:t xml:space="preserve">Next steps</w:t>
      </w:r>
    </w:p>
    <w:p>
      <w:pPr>
        <w:pStyle w:val="ListParagraph"/>
        <w:numPr>
          <w:ilvl w:val="0"/>
          <w:numId w:val="3"/>
        </w:numPr>
      </w:pPr>
      <w:r>
        <w:t xml:space="preserve">Review and approve this invoice.</w:t>
      </w:r>
    </w:p>
    <w:p>
      <w:pPr>
        <w:pStyle w:val="ListParagraph"/>
        <w:numPr>
          <w:ilvl w:val="0"/>
          <w:numId w:val="3"/>
        </w:numPr>
      </w:pPr>
      <w:r>
        <w:t xml:space="preserve">Remit payment via the billing portal.</w:t>
      </w:r>
    </w:p>
    <w:p>
      <w:pPr>
        <w:pStyle w:val="ListParagraph"/>
        <w:numPr>
          <w:ilvl w:val="0"/>
          <w:numId w:val="3"/>
        </w:numPr>
      </w:pPr>
      <w:r>
        <w:t xml:space="preserve">Schedule the phase 2 kickoff.</w:t>
      </w:r>
    </w:p>
    <w:p>
      <w:pPr>
        <w:pStyle w:val="Normal"/>
      </w:pPr>
      <w:r>
        <w:rPr>
          <w:b/>
          <w:color w:val="C0392B"/>
        </w:rPr>
        <w:t xml:space="preserve">Note:</w:t>
      </w:r>
      <w:r>
        <w:rPr>
          <w:color w:val="C0392B"/>
        </w:rPr>
        <w:t xml:space="preserve"> this paragraph uses an inline colour to test CSS carry-through.</w:t>
      </w:r>
    </w:p>
    <w:p>
      <w:pPr>
        <w:pStyle w:val="Heading2"/>
      </w:pPr>
      <w:r>
        <w:t xml:space="preserve">Appendix — long text for pagination</w:t>
      </w:r>
    </w:p>
    <w:p>
      <w:pPr>
        <w:pStyle w:val="Normal"/>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pPr>
      <w:r>
        <w:t xml:space="preserve">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w:t>
      </w:r>
    </w:p>
    <w:p>
      <w:pPr>
        <w:pStyle w:val="Normal"/>
      </w:pPr>
      <w:r>
        <w:t xml:space="preserve">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body>
</w:document>
</file>

<file path=word/numbering.xml><?xml version="1.0" encoding="utf-8"?>
<w:numbering xmlns:w="http://schemas.openxmlformats.org/wordprocessingml/2006/main">
  <w:abstractNum w:abstractNumId="1">
    <w:multiLevelType w:val="hybridMultilevel"/>
    <w:name w:val="dis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name w:val="decima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2">
    <w:abstractNumId w:val="1"/>
    <w:lvlOverride w:ilvl="0">
      <w:startOverride w:val="1"/>
    </w:lvlOverride>
  </w:num>
  <w:num w:numId="3">
    <w:abstractNumId w:val="2"/>
    <w:lvlOverride w:ilvl="0">
      <w:startOverride w:val="1"/>
    </w:lvlOverride>
  </w:num>
</w:numbering>
</file>

<file path=word/styles.xml><?xml version="1.0" encoding="utf-8"?>
<w:styles xmlns:w="http://schemas.openxmlformats.org/wordprocessingml/2006/main">
  <w:style xmlns:w="http://schemas.openxmlformats.org/wordprocessingml/2006/main" w:type="paragraph" w:styleId="Normal" w:default="1">
    <w:name w:val="Normal"/>
    <w:qFormat/>
  </w:style>
  <w:style xmlns:w="http://schemas.openxmlformats.org/wordprocessingml/2006/main" w:type="paragraph" w:styleId="Heading1">
    <w:name w:val="heading 1"/>
    <w:basedOn w:val="Normal"/>
    <w:next w:val="Normal"/>
    <w:link w:val="Heading1Char"/>
    <w:qFormat/>
    <w:pPr>
      <w:keepNext/>
      <w:keepLines/>
      <w:spacing w:before="480" w:after="0"/>
      <w:outlineLvl w:val="0"/>
    </w:pPr>
    <w:rPr>
      <w:rFonts w:asciiTheme="majorHAnsi" w:hAnsiTheme="majorHAnsi" w:eastAsiaTheme="majorEastAsia" w:cstheme="majorBidi"/>
      <w:b/>
      <w:bCs/>
      <w:color w:val="2E74B5" w:themeColor="accent1" w:themeShade="BF"/>
      <w:sz w:val="28"/>
      <w:szCs w:val="28"/>
    </w:rPr>
  </w:style>
  <w:style xmlns:w="http://schemas.openxmlformats.org/wordprocessingml/2006/main" w:type="paragraph" w:styleId="Heading2">
    <w:name w:val="heading 2"/>
    <w:basedOn w:val="Normal"/>
    <w:next w:val="Normal"/>
    <w:link w:val="Heading2Char"/>
    <w:unhideWhenUsed/>
    <w:qFormat/>
    <w:pPr>
      <w:keepNext/>
      <w:keepLines/>
      <w:spacing w:before="200" w:after="0"/>
      <w:outlineLvl w:val="1"/>
    </w:pPr>
    <w:rPr>
      <w:rFonts w:asciiTheme="majorHAnsi" w:hAnsiTheme="majorHAnsi" w:eastAsiaTheme="majorEastAsia" w:cstheme="majorBidi"/>
      <w:b/>
      <w:bCs/>
      <w:color w:val="5B9BD5" w:themeColor="accent1"/>
      <w:sz w:val="26"/>
      <w:szCs w:val="26"/>
    </w:rPr>
  </w:style>
  <w:style xmlns:w="http://schemas.openxmlformats.org/wordprocessingml/2006/main" w:type="character" w:styleId="Hyperlink">
    <w:name w:val="Hyperlink"/>
    <w:unhideWhenUsed/>
    <w:rPr>
      <w:color w:val="0000FF" w:themeColor="hyperlink"/>
      <w:u w:val="single"/>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xmlns:w="http://schemas.openxmlformats.org/wordprocessingml/2006/main" w:type="paragraph" w:styleId="ListParagraph">
    <w:name w:val="List Paragraph"/>
    <w:next w:val="List Paragraph"/>
    <w:pPr>
      <w:keepNext w:val="0"/>
      <w:keepLines w:val="0"/>
      <w:spacing w:before="0" w:after="0" w:line="240" w:lineRule="auto"/>
      <w:ind w:start="720" w:end="0" w:firstLine="0"/>
      <w:contextualSpacing/>
    </w:pPr>
  </w:style>
  <w:style xmlns:w="http://schemas.openxmlformats.org/wordprocessingml/2006/main" w:type="paragraph" w:styleId="Heading3">
    <w:name w:val="heading 3"/>
    <w:basedOn w:val="Normal"/>
    <w:next w:val="Normal"/>
    <w:link w:val="Heading3Char"/>
    <w:unhideWhenUsed/>
    <w:qFormat/>
    <w:pPr>
      <w:keepNext/>
      <w:keepLines/>
      <w:spacing w:before="200" w:after="0"/>
      <w:outlineLvl w:val="2"/>
    </w:pPr>
    <w:rPr>
      <w:rFonts w:asciiTheme="majorHAnsi" w:hAnsiTheme="majorHAnsi" w:eastAsiaTheme="majorEastAsia" w:cstheme="majorBidi"/>
      <w:b/>
      <w:bCs/>
      <w:color w:val="5B9BD5" w:themeColor="accent1"/>
    </w:rPr>
  </w:style>
</w:styles>
</file>

<file path=word/_rels/document.xml.rels>&#65279;<?xml version="1.0" encoding="utf-8"?><Relationships xmlns="http://schemas.openxmlformats.org/package/2006/relationships"><Relationship Type="http://schemas.openxmlformats.org/officeDocument/2006/relationships/styles" Target="/word/styles.xml" Id="R5aef20f26cec4b9e" /><Relationship Type="http://schemas.openxmlformats.org/officeDocument/2006/relationships/hyperlink" Target="https://example.com/billing" TargetMode="External" Id="R509fd914d8204169" /><Relationship Type="http://schemas.openxmlformats.org/officeDocument/2006/relationships/numbering" Target="/word/numbering.xml" Id="R5eab559675ef4de3" /></Relationships>
</file>