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8C72EB" w14:textId="5DEBFF9B" w:rsidR="003B4F53" w:rsidRPr="003B4F53" w:rsidRDefault="003B4F53" w:rsidP="003B4F53">
      <w:pPr>
        <w:jc w:val="center"/>
        <w:rPr>
          <w:b/>
          <w:bCs/>
          <w:sz w:val="28"/>
          <w:szCs w:val="28"/>
        </w:rPr>
      </w:pPr>
      <w:r w:rsidRPr="003B4F53">
        <w:rPr>
          <w:b/>
          <w:bCs/>
          <w:sz w:val="28"/>
          <w:szCs w:val="28"/>
        </w:rPr>
        <w:t>Buy Now, Pay Later (BNPL) Payment Provider for SOLV Ecommerce Platform</w:t>
      </w:r>
    </w:p>
    <w:p w14:paraId="6121596A" w14:textId="77777777" w:rsidR="003B4F53" w:rsidRDefault="003B4F53" w:rsidP="003B4F53"/>
    <w:p w14:paraId="7F104ED3" w14:textId="77777777" w:rsidR="003B4F53" w:rsidRDefault="003B4F53" w:rsidP="003B4F53">
      <w:r>
        <w:t xml:space="preserve">The BNPL payment provider on the SOLV ecommerce platform offers a seamless and flexible financing solution designed to </w:t>
      </w:r>
      <w:r w:rsidRPr="003B4F53">
        <w:rPr>
          <w:b/>
          <w:bCs/>
          <w:highlight w:val="yellow"/>
        </w:rPr>
        <w:t>enhance buyer purchasing power and drive sales</w:t>
      </w:r>
      <w:r>
        <w:t xml:space="preserve"> for sellers. </w:t>
      </w:r>
    </w:p>
    <w:p w14:paraId="5770329E" w14:textId="4C088CD9" w:rsidR="003B4F53" w:rsidRDefault="003B4F53" w:rsidP="003B4F53">
      <w:r>
        <w:t>Tailored to meet the unique demands of small and medium enterprises (SMEs) operating on the platform, this innovative payment model allows buyers to purchase goods or services upfront and defer payment over an agreed period, easing cash flow constraints and fostering business growth.</w:t>
      </w:r>
    </w:p>
    <w:p w14:paraId="0652B297" w14:textId="5AB9A3A2" w:rsidR="003B4F53" w:rsidRPr="00203E32" w:rsidRDefault="004A756D" w:rsidP="00313C55">
      <w:pPr>
        <w:ind w:left="3240"/>
        <w:rPr>
          <w:b/>
          <w:bCs/>
        </w:rPr>
      </w:pPr>
      <w:r w:rsidRPr="00203E32">
        <w:rPr>
          <w:b/>
          <w:bCs/>
        </w:rPr>
        <w:t>FI Partner Integrated</w:t>
      </w:r>
    </w:p>
    <w:p w14:paraId="60BE0FFF" w14:textId="507DBFDA" w:rsidR="004A756D" w:rsidRDefault="004A756D" w:rsidP="00313C55">
      <w:pPr>
        <w:pStyle w:val="ListParagraph"/>
        <w:numPr>
          <w:ilvl w:val="0"/>
          <w:numId w:val="1"/>
        </w:numPr>
        <w:ind w:left="3960"/>
      </w:pPr>
      <w:r>
        <w:t>Davinta (</w:t>
      </w:r>
      <w:r w:rsidR="006962FA">
        <w:t>Defunc)</w:t>
      </w:r>
    </w:p>
    <w:p w14:paraId="46AEABF5" w14:textId="6A9F79D9" w:rsidR="006962FA" w:rsidRDefault="00A6271A" w:rsidP="00313C55">
      <w:pPr>
        <w:pStyle w:val="ListParagraph"/>
        <w:numPr>
          <w:ilvl w:val="0"/>
          <w:numId w:val="1"/>
        </w:numPr>
        <w:ind w:left="3960"/>
      </w:pPr>
      <w:r>
        <w:t>Indifi (Defunc)</w:t>
      </w:r>
    </w:p>
    <w:p w14:paraId="76BB1E9F" w14:textId="2B5C1B90" w:rsidR="00A6271A" w:rsidRDefault="00A6271A" w:rsidP="00313C55">
      <w:pPr>
        <w:pStyle w:val="ListParagraph"/>
        <w:numPr>
          <w:ilvl w:val="0"/>
          <w:numId w:val="1"/>
        </w:numPr>
        <w:ind w:left="3960"/>
      </w:pPr>
      <w:r>
        <w:t>Rupifi (Functional) – GROCERY</w:t>
      </w:r>
    </w:p>
    <w:p w14:paraId="4D02CBCC" w14:textId="6C7EDF5E" w:rsidR="00A6271A" w:rsidRDefault="00A6271A" w:rsidP="00313C55">
      <w:pPr>
        <w:pStyle w:val="ListParagraph"/>
        <w:numPr>
          <w:ilvl w:val="0"/>
          <w:numId w:val="1"/>
        </w:numPr>
        <w:ind w:left="3960"/>
      </w:pPr>
      <w:r>
        <w:t>Muthoot (Functional) – SOFTLINE</w:t>
      </w:r>
    </w:p>
    <w:p w14:paraId="17E5B31F" w14:textId="05FC1B94" w:rsidR="00A6271A" w:rsidRDefault="00A6271A" w:rsidP="00313C55">
      <w:pPr>
        <w:pStyle w:val="ListParagraph"/>
        <w:numPr>
          <w:ilvl w:val="0"/>
          <w:numId w:val="1"/>
        </w:numPr>
        <w:ind w:left="3960"/>
      </w:pPr>
      <w:r>
        <w:t>EpayLater (functional) – GROCERY</w:t>
      </w:r>
    </w:p>
    <w:p w14:paraId="335F032B" w14:textId="599C7022" w:rsidR="00A6271A" w:rsidRDefault="00A6271A" w:rsidP="00313C55">
      <w:pPr>
        <w:pStyle w:val="ListParagraph"/>
        <w:numPr>
          <w:ilvl w:val="0"/>
          <w:numId w:val="1"/>
        </w:numPr>
        <w:ind w:left="3960"/>
      </w:pPr>
      <w:r>
        <w:t>QUID ~ upcoming</w:t>
      </w:r>
      <w:r w:rsidR="00E30BB3">
        <w:t xml:space="preserve"> (SCF oriented still BNPL)</w:t>
      </w:r>
    </w:p>
    <w:p w14:paraId="27CD9EFB" w14:textId="3CB91DA3" w:rsidR="00A6271A" w:rsidRDefault="00A6271A" w:rsidP="00313C55">
      <w:pPr>
        <w:pStyle w:val="ListParagraph"/>
        <w:numPr>
          <w:ilvl w:val="0"/>
          <w:numId w:val="1"/>
        </w:numPr>
        <w:ind w:left="3960"/>
      </w:pPr>
      <w:r>
        <w:t>SETTLE ~ upcoming</w:t>
      </w:r>
      <w:r w:rsidR="00B53AD8">
        <w:t xml:space="preserve"> (</w:t>
      </w:r>
      <w:r w:rsidR="00D74CAB">
        <w:t>lenders, other lending partners)</w:t>
      </w:r>
    </w:p>
    <w:p w14:paraId="0DAB4D7B" w14:textId="77777777" w:rsidR="00A6271A" w:rsidRDefault="00A6271A" w:rsidP="00A6271A"/>
    <w:p w14:paraId="081230CE" w14:textId="66CBF7B4" w:rsidR="003B4F53" w:rsidRPr="00313C55" w:rsidRDefault="003B4F53" w:rsidP="00313C55">
      <w:pPr>
        <w:jc w:val="center"/>
        <w:rPr>
          <w:b/>
          <w:bCs/>
        </w:rPr>
      </w:pPr>
      <w:r w:rsidRPr="00313C55">
        <w:rPr>
          <w:b/>
          <w:bCs/>
        </w:rPr>
        <w:t>Key Features and Benefits:</w:t>
      </w:r>
    </w:p>
    <w:p w14:paraId="26069EED" w14:textId="670BA045" w:rsidR="00EB407F" w:rsidRDefault="003B4F53" w:rsidP="00EB407F">
      <w:pPr>
        <w:pStyle w:val="ListParagraph"/>
        <w:numPr>
          <w:ilvl w:val="0"/>
          <w:numId w:val="2"/>
        </w:numPr>
      </w:pPr>
      <w:r>
        <w:t xml:space="preserve">Flexible Payment Terms: Buyers can select repayment schedules ranging from </w:t>
      </w:r>
    </w:p>
    <w:p w14:paraId="4FE21A81" w14:textId="42AD5CA0" w:rsidR="00EB407F" w:rsidRDefault="003B4F53" w:rsidP="00EB407F">
      <w:pPr>
        <w:pStyle w:val="ListParagraph"/>
        <w:numPr>
          <w:ilvl w:val="1"/>
          <w:numId w:val="2"/>
        </w:numPr>
      </w:pPr>
      <w:r>
        <w:t>short-term (</w:t>
      </w:r>
      <w:r w:rsidR="00B80668">
        <w:t>15 days</w:t>
      </w:r>
      <w:r>
        <w:t xml:space="preserve">) to </w:t>
      </w:r>
    </w:p>
    <w:p w14:paraId="3CE6FD71" w14:textId="4D0B5259" w:rsidR="003B4F53" w:rsidRDefault="003B4F53" w:rsidP="00EB407F">
      <w:pPr>
        <w:pStyle w:val="ListParagraph"/>
        <w:numPr>
          <w:ilvl w:val="1"/>
          <w:numId w:val="2"/>
        </w:numPr>
      </w:pPr>
      <w:r>
        <w:t>mid-term (</w:t>
      </w:r>
      <w:r w:rsidR="004B6AC5">
        <w:t>6</w:t>
      </w:r>
      <w:r>
        <w:t>0 days), catering to varied business</w:t>
      </w:r>
      <w:r w:rsidR="00EB407F">
        <w:t xml:space="preserve"> category</w:t>
      </w:r>
      <w:r w:rsidR="0007723F">
        <w:t>, and their Working Capital</w:t>
      </w:r>
    </w:p>
    <w:p w14:paraId="32C46610" w14:textId="77777777" w:rsidR="0007723F" w:rsidRDefault="0007723F" w:rsidP="0007723F">
      <w:pPr>
        <w:pStyle w:val="ListParagraph"/>
        <w:ind w:left="1440"/>
      </w:pPr>
    </w:p>
    <w:p w14:paraId="7DB98ACA" w14:textId="20BE8BDC" w:rsidR="003B4F53" w:rsidRDefault="003B4F53" w:rsidP="0007723F">
      <w:pPr>
        <w:pStyle w:val="ListParagraph"/>
        <w:numPr>
          <w:ilvl w:val="0"/>
          <w:numId w:val="2"/>
        </w:numPr>
      </w:pPr>
      <w:r>
        <w:t xml:space="preserve">Enhanced Buyer </w:t>
      </w:r>
      <w:r w:rsidR="0007723F">
        <w:t xml:space="preserve">Experience: </w:t>
      </w:r>
      <w:r>
        <w:t xml:space="preserve"> With the BNPL option, buyers gain increased purchasing flexibility, enabling them to acquire higher-value goods or stock up inventory without immediate financial strain.</w:t>
      </w:r>
      <w:r w:rsidR="00081685">
        <w:t xml:space="preserve"> (Credit facility </w:t>
      </w:r>
      <w:r w:rsidR="008F4484">
        <w:t>provision)</w:t>
      </w:r>
    </w:p>
    <w:p w14:paraId="6AC2572B" w14:textId="77777777" w:rsidR="008F4484" w:rsidRDefault="008F4484" w:rsidP="008F4484">
      <w:pPr>
        <w:pStyle w:val="ListParagraph"/>
      </w:pPr>
    </w:p>
    <w:p w14:paraId="0E04B31B" w14:textId="40C2AC9B" w:rsidR="003B4F53" w:rsidRDefault="003B4F53" w:rsidP="003B4F53">
      <w:pPr>
        <w:pStyle w:val="ListParagraph"/>
        <w:numPr>
          <w:ilvl w:val="0"/>
          <w:numId w:val="2"/>
        </w:numPr>
      </w:pPr>
      <w:r>
        <w:t>Seller Advantages:</w:t>
      </w:r>
      <w:r w:rsidR="008F4484">
        <w:t xml:space="preserve"> </w:t>
      </w:r>
      <w:r>
        <w:t>Sellers benefit from upfront payment by the BNPL provider, reducing their credit risk and ensuring a steady cash flow, while boosting sales through improved buyer affordability.</w:t>
      </w:r>
      <w:r w:rsidR="008F4484">
        <w:t xml:space="preserve"> (In comparison with </w:t>
      </w:r>
      <w:r w:rsidR="00B0216F">
        <w:t>offline credit cycle)</w:t>
      </w:r>
    </w:p>
    <w:p w14:paraId="69A3DEC5" w14:textId="77777777" w:rsidR="00B0216F" w:rsidRDefault="00B0216F" w:rsidP="00B0216F">
      <w:pPr>
        <w:pStyle w:val="ListParagraph"/>
      </w:pPr>
    </w:p>
    <w:p w14:paraId="71D4E1E8" w14:textId="7ADD67D3" w:rsidR="003B4F53" w:rsidRDefault="003B4F53" w:rsidP="003B4F53">
      <w:pPr>
        <w:pStyle w:val="ListParagraph"/>
        <w:numPr>
          <w:ilvl w:val="0"/>
          <w:numId w:val="2"/>
        </w:numPr>
      </w:pPr>
      <w:r>
        <w:t>Streamlined Integration:</w:t>
      </w:r>
      <w:r w:rsidR="00B0216F">
        <w:t xml:space="preserve"> </w:t>
      </w:r>
      <w:r>
        <w:t>The BNPL service integrates seamlessly with SOLV’s ecommerce platform, offering a frictionless experience for both buyers and sellers during checkout.</w:t>
      </w:r>
      <w:r w:rsidR="00146690">
        <w:t xml:space="preserve"> (embedded finance</w:t>
      </w:r>
      <w:r w:rsidR="00313C55">
        <w:t>, functionality to check recent transactions, credit limit availability, due, repayments)</w:t>
      </w:r>
    </w:p>
    <w:p w14:paraId="0EEB762C" w14:textId="77777777" w:rsidR="003B4F53" w:rsidRDefault="003B4F53" w:rsidP="003B4F53"/>
    <w:p w14:paraId="68EA0036" w14:textId="77777777" w:rsidR="0041664C" w:rsidRDefault="0041664C" w:rsidP="003B4F53"/>
    <w:p w14:paraId="02D652FB" w14:textId="77777777" w:rsidR="0041664C" w:rsidRDefault="0041664C" w:rsidP="003B4F53"/>
    <w:p w14:paraId="67514DBE" w14:textId="19266034" w:rsidR="003B4F53" w:rsidRDefault="003B4F53" w:rsidP="003B4F53">
      <w:r w:rsidRPr="00167A52">
        <w:rPr>
          <w:b/>
          <w:bCs/>
        </w:rPr>
        <w:lastRenderedPageBreak/>
        <w:t>Monetization Features</w:t>
      </w:r>
      <w:r>
        <w:t>:</w:t>
      </w:r>
    </w:p>
    <w:p w14:paraId="3520548E" w14:textId="7B39C948" w:rsidR="003B4F53" w:rsidRDefault="003B4F53" w:rsidP="0041664C">
      <w:pPr>
        <w:pStyle w:val="ListParagraph"/>
        <w:numPr>
          <w:ilvl w:val="0"/>
          <w:numId w:val="3"/>
        </w:numPr>
      </w:pPr>
      <w:r>
        <w:t>Buyer Convenience Fee:</w:t>
      </w:r>
      <w:r w:rsidR="0041664C">
        <w:t xml:space="preserve"> </w:t>
      </w:r>
      <w:r>
        <w:t xml:space="preserve">Buyers availing the BNPL service are charged a nominal convenience fee, which is structured as a </w:t>
      </w:r>
      <w:r w:rsidR="0041664C">
        <w:t>slab wise</w:t>
      </w:r>
      <w:r>
        <w:t xml:space="preserve"> of the transaction value. This fee is transparently communicated during checkout, ensuring clarity.</w:t>
      </w:r>
    </w:p>
    <w:p w14:paraId="3AD79346" w14:textId="1656089C" w:rsidR="0041664C" w:rsidRDefault="0041664C" w:rsidP="0041664C">
      <w:pPr>
        <w:pStyle w:val="ListParagraph"/>
        <w:numPr>
          <w:ilvl w:val="1"/>
          <w:numId w:val="3"/>
        </w:numPr>
      </w:pPr>
      <w:r>
        <w:t>INVOICE of Convenience fee is provided</w:t>
      </w:r>
      <w:r w:rsidR="00167A52">
        <w:t xml:space="preserve"> to buyer</w:t>
      </w:r>
    </w:p>
    <w:p w14:paraId="1D3AB47A" w14:textId="74C691F8" w:rsidR="0041664C" w:rsidRDefault="0041664C" w:rsidP="0041664C">
      <w:pPr>
        <w:pStyle w:val="ListParagraph"/>
        <w:numPr>
          <w:ilvl w:val="1"/>
          <w:numId w:val="3"/>
        </w:numPr>
      </w:pPr>
      <w:r>
        <w:t>Marked as revenue for SOLV</w:t>
      </w:r>
    </w:p>
    <w:p w14:paraId="63228DFF" w14:textId="65E6B0E0" w:rsidR="00167A52" w:rsidRDefault="00167A52" w:rsidP="0041664C">
      <w:pPr>
        <w:pStyle w:val="ListParagraph"/>
        <w:numPr>
          <w:ilvl w:val="1"/>
          <w:numId w:val="3"/>
        </w:numPr>
      </w:pPr>
      <w:r>
        <w:t xml:space="preserve">GST compliance need to be followed upon </w:t>
      </w:r>
    </w:p>
    <w:p w14:paraId="380A2226" w14:textId="77777777" w:rsidR="00167A52" w:rsidRDefault="00167A52" w:rsidP="00167A52">
      <w:pPr>
        <w:pStyle w:val="ListParagraph"/>
        <w:ind w:left="1440"/>
      </w:pPr>
    </w:p>
    <w:p w14:paraId="46FD41B6" w14:textId="18507158" w:rsidR="003B4F53" w:rsidRDefault="003B4F53" w:rsidP="003B4F53">
      <w:pPr>
        <w:pStyle w:val="ListParagraph"/>
        <w:numPr>
          <w:ilvl w:val="0"/>
          <w:numId w:val="3"/>
        </w:numPr>
      </w:pPr>
      <w:r>
        <w:t>Seller Convenience Fee: Sellers opting to provide BNPL options for their customers pay a convenience fee for the service. This fee covers the cost of providing instant payment to the seller and managing credit risk, while enabling sellers to attract more buyers and higher-value transactions.</w:t>
      </w:r>
    </w:p>
    <w:p w14:paraId="57609210" w14:textId="24758B31" w:rsidR="00167A52" w:rsidRDefault="00167A52" w:rsidP="00167A52">
      <w:pPr>
        <w:pStyle w:val="ListParagraph"/>
        <w:numPr>
          <w:ilvl w:val="1"/>
          <w:numId w:val="3"/>
        </w:numPr>
      </w:pPr>
      <w:r>
        <w:t>INVOICING is done to SELLER by Finance Team</w:t>
      </w:r>
      <w:r w:rsidR="00896A83">
        <w:t xml:space="preserve"> (offline done by Finance Team Pooja and Revenue Assurance Team – Seller Remittance)</w:t>
      </w:r>
    </w:p>
    <w:p w14:paraId="6F9C646E" w14:textId="449F4685" w:rsidR="00167A52" w:rsidRDefault="00001B8A" w:rsidP="00167A52">
      <w:pPr>
        <w:pStyle w:val="ListParagraph"/>
        <w:numPr>
          <w:ilvl w:val="1"/>
          <w:numId w:val="3"/>
        </w:numPr>
      </w:pPr>
      <w:r>
        <w:t>Expected Receivables get deducted</w:t>
      </w:r>
    </w:p>
    <w:p w14:paraId="05DD48E8" w14:textId="040D1460" w:rsidR="00001B8A" w:rsidRDefault="00001B8A" w:rsidP="00167A52">
      <w:pPr>
        <w:pStyle w:val="ListParagraph"/>
        <w:numPr>
          <w:ilvl w:val="1"/>
          <w:numId w:val="3"/>
        </w:numPr>
      </w:pPr>
      <w:r>
        <w:t xml:space="preserve">GST compliance is followed </w:t>
      </w:r>
    </w:p>
    <w:p w14:paraId="25251C64" w14:textId="36371C32" w:rsidR="00C620BB" w:rsidRDefault="00C620BB" w:rsidP="00167A52">
      <w:pPr>
        <w:pStyle w:val="ListParagraph"/>
        <w:numPr>
          <w:ilvl w:val="1"/>
          <w:numId w:val="3"/>
        </w:numPr>
      </w:pPr>
      <w:r>
        <w:t xml:space="preserve">Revenue to SOLV </w:t>
      </w:r>
    </w:p>
    <w:p w14:paraId="570483ED" w14:textId="77777777" w:rsidR="00C620BB" w:rsidRDefault="00C620BB" w:rsidP="00C620BB"/>
    <w:p w14:paraId="68BB24FB" w14:textId="77777777" w:rsidR="00F2160C" w:rsidRDefault="00C620BB" w:rsidP="00F2160C">
      <w:pPr>
        <w:rPr>
          <w:b/>
          <w:bCs/>
        </w:rPr>
      </w:pPr>
      <w:r w:rsidRPr="00C620BB">
        <w:rPr>
          <w:b/>
          <w:bCs/>
        </w:rPr>
        <w:t>COST of CAPITAL</w:t>
      </w:r>
    </w:p>
    <w:p w14:paraId="5E757246" w14:textId="5EFB460C" w:rsidR="00C620BB" w:rsidRPr="00F2160C" w:rsidRDefault="00290D68" w:rsidP="00F2160C">
      <w:pPr>
        <w:rPr>
          <w:b/>
          <w:bCs/>
        </w:rPr>
      </w:pPr>
      <w:r>
        <w:t>BNPL Offering to come as a SUBVENTION program for BUYER.</w:t>
      </w:r>
    </w:p>
    <w:p w14:paraId="2139BFEE" w14:textId="7A9F09B2" w:rsidR="003B4F53" w:rsidRDefault="003B4F53" w:rsidP="003B4F53">
      <w:pPr>
        <w:pStyle w:val="ListParagraph"/>
        <w:numPr>
          <w:ilvl w:val="0"/>
          <w:numId w:val="3"/>
        </w:numPr>
      </w:pPr>
      <w:r>
        <w:t>Interest Revenue:</w:t>
      </w:r>
      <w:r w:rsidR="00753765">
        <w:t xml:space="preserve"> Interest charges by Lenders are paid by SOLV as a part of BILLING CYCLE. For </w:t>
      </w:r>
      <w:r w:rsidR="00F2160C">
        <w:t>buyers</w:t>
      </w:r>
      <w:r w:rsidR="00753765">
        <w:t xml:space="preserve">, SOLV has subvented interest and for them its interest free credit. But any penalty due to late payment or violation of </w:t>
      </w:r>
      <w:r w:rsidR="00C4157A">
        <w:t xml:space="preserve">the agreement shall be </w:t>
      </w:r>
      <w:r w:rsidR="00A22798">
        <w:t>borne</w:t>
      </w:r>
      <w:r w:rsidR="006C5130">
        <w:t xml:space="preserve"> by </w:t>
      </w:r>
      <w:r w:rsidR="00F2160C">
        <w:t>the buyer</w:t>
      </w:r>
      <w:r w:rsidR="006C5130">
        <w:t>.</w:t>
      </w:r>
    </w:p>
    <w:p w14:paraId="3F84CDD3" w14:textId="77777777" w:rsidR="003B4F53" w:rsidRDefault="003B4F53" w:rsidP="003B4F53"/>
    <w:p w14:paraId="71E05E81" w14:textId="6A0BB83B" w:rsidR="003B4F53" w:rsidRPr="00F2160C" w:rsidRDefault="0083522E" w:rsidP="003B4F53">
      <w:pPr>
        <w:rPr>
          <w:b/>
          <w:bCs/>
        </w:rPr>
      </w:pPr>
      <w:r w:rsidRPr="00F2160C">
        <w:rPr>
          <w:b/>
          <w:bCs/>
        </w:rPr>
        <w:t>SECTOR Impact</w:t>
      </w:r>
      <w:r w:rsidR="00F2160C" w:rsidRPr="00F2160C">
        <w:rPr>
          <w:b/>
          <w:bCs/>
        </w:rPr>
        <w:t xml:space="preserve"> (Economic Impact)</w:t>
      </w:r>
    </w:p>
    <w:p w14:paraId="4796632A" w14:textId="77777777" w:rsidR="003B4F53" w:rsidRDefault="003B4F53" w:rsidP="003B4F53">
      <w:r>
        <w:t>The BNPL solution amplifies SOLV’s value proposition by addressing key SME challenges, such as working capital constraints and unpredictable cash flow. By bridging the gap between buyers and sellers, the BNPL payment provider not only fosters trust and loyalty within the ecosystem but also contributes to SOLV’s revenue growth through its monetization features. This innovative financial tool positions SOLV as a comprehensive enabler of SME success in the competitive ecommerce landscape.</w:t>
      </w:r>
    </w:p>
    <w:p w14:paraId="5F7009E1" w14:textId="77777777" w:rsidR="003C549A" w:rsidRDefault="003C549A"/>
    <w:p w14:paraId="37CFE0D1" w14:textId="77777777" w:rsidR="00060326" w:rsidRDefault="00060326"/>
    <w:p w14:paraId="74C9615E" w14:textId="77777777" w:rsidR="00060326" w:rsidRDefault="00060326"/>
    <w:p w14:paraId="3D4AB76D" w14:textId="77777777" w:rsidR="00F2160C" w:rsidRDefault="00F2160C"/>
    <w:p w14:paraId="1ACFA3DD" w14:textId="77777777" w:rsidR="00F2160C" w:rsidRDefault="00F2160C"/>
    <w:p w14:paraId="64514B04" w14:textId="77777777" w:rsidR="00060326" w:rsidRDefault="00060326"/>
    <w:p w14:paraId="6848CBA4" w14:textId="77777777" w:rsidR="00060326" w:rsidRPr="00060326" w:rsidRDefault="00060326" w:rsidP="00060326">
      <w:r w:rsidRPr="00060326">
        <w:rPr>
          <w:b/>
          <w:bCs/>
        </w:rPr>
        <w:lastRenderedPageBreak/>
        <w:t>Impact of FLDG and RBI’s Digital Lending Rules:</w:t>
      </w:r>
    </w:p>
    <w:p w14:paraId="7D363E71" w14:textId="77777777" w:rsidR="00060326" w:rsidRDefault="00060326" w:rsidP="00060326">
      <w:r w:rsidRPr="00060326">
        <w:t xml:space="preserve">The introduction of RBI’s guidelines on digital lending, including regulations on First Loss Default Guarantee (FLDG) structures, significantly impacts SOLV’s BNPL operations. </w:t>
      </w:r>
    </w:p>
    <w:p w14:paraId="2A6CAEA6" w14:textId="603E6699" w:rsidR="00B53C8A" w:rsidRDefault="00060326" w:rsidP="00060326">
      <w:r w:rsidRPr="00060326">
        <w:t xml:space="preserve">Under these rules, lending platforms must ensure full transparency in loan disbursement and repayment processes, comply with data protection standards, and maintain clear agreements between lenders and borrowers. </w:t>
      </w:r>
      <w:r w:rsidR="00375E7F">
        <w:t>(ONBOARDING)</w:t>
      </w:r>
    </w:p>
    <w:p w14:paraId="6BA135FA" w14:textId="0AEBD75A" w:rsidR="00B53C8A" w:rsidRDefault="00060326" w:rsidP="00060326">
      <w:r w:rsidRPr="00060326">
        <w:t>For SOLV, this means adopting stringent compliance measures to manage FLDG arrangements, where lenders bear partial risk of borrower default. By adhering to these guidelines, SOLV ensures ethical lending practices, safeguards buyer and seller interests, and strengthens trust in its BNPL offerings.</w:t>
      </w:r>
      <w:r w:rsidR="00375E7F">
        <w:t xml:space="preserve"> (TRANSACTIONS and DISBURSEMENT)</w:t>
      </w:r>
    </w:p>
    <w:p w14:paraId="4BB936D5" w14:textId="22A0B57A" w:rsidR="00060326" w:rsidRPr="00060326" w:rsidRDefault="00060326" w:rsidP="00060326">
      <w:r w:rsidRPr="00060326">
        <w:t>These changes reinforce SOLV’s commitment to regulatory compliance while enabling responsible and sustainable growth of its digital lending ecosystem.</w:t>
      </w:r>
    </w:p>
    <w:p w14:paraId="32D2695A" w14:textId="77777777" w:rsidR="00060326" w:rsidRDefault="00060326"/>
    <w:sectPr w:rsidR="00060326" w:rsidSect="003B4F53">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661FB4"/>
    <w:multiLevelType w:val="hybridMultilevel"/>
    <w:tmpl w:val="3BA69CF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BC2BBE"/>
    <w:multiLevelType w:val="hybridMultilevel"/>
    <w:tmpl w:val="AAF4EA8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A25793"/>
    <w:multiLevelType w:val="hybridMultilevel"/>
    <w:tmpl w:val="83F6D5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1318694">
    <w:abstractNumId w:val="2"/>
  </w:num>
  <w:num w:numId="2" w16cid:durableId="1178078072">
    <w:abstractNumId w:val="0"/>
  </w:num>
  <w:num w:numId="3" w16cid:durableId="10293352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B4F53"/>
    <w:rsid w:val="00001B8A"/>
    <w:rsid w:val="00060326"/>
    <w:rsid w:val="0007723F"/>
    <w:rsid w:val="00081685"/>
    <w:rsid w:val="00146690"/>
    <w:rsid w:val="00167A52"/>
    <w:rsid w:val="00203E32"/>
    <w:rsid w:val="00290D68"/>
    <w:rsid w:val="00313C55"/>
    <w:rsid w:val="00375E7F"/>
    <w:rsid w:val="003B4F53"/>
    <w:rsid w:val="003C549A"/>
    <w:rsid w:val="0041664C"/>
    <w:rsid w:val="0043094C"/>
    <w:rsid w:val="004A756D"/>
    <w:rsid w:val="004B6AC5"/>
    <w:rsid w:val="005C11AB"/>
    <w:rsid w:val="005E55BC"/>
    <w:rsid w:val="00662382"/>
    <w:rsid w:val="006962FA"/>
    <w:rsid w:val="006B63D8"/>
    <w:rsid w:val="006C5130"/>
    <w:rsid w:val="00753765"/>
    <w:rsid w:val="0083522E"/>
    <w:rsid w:val="00896A83"/>
    <w:rsid w:val="008B4C79"/>
    <w:rsid w:val="008F4484"/>
    <w:rsid w:val="00A22798"/>
    <w:rsid w:val="00A6271A"/>
    <w:rsid w:val="00AC1999"/>
    <w:rsid w:val="00B0216F"/>
    <w:rsid w:val="00B53AD8"/>
    <w:rsid w:val="00B53C8A"/>
    <w:rsid w:val="00B80668"/>
    <w:rsid w:val="00C4157A"/>
    <w:rsid w:val="00C620BB"/>
    <w:rsid w:val="00C643A2"/>
    <w:rsid w:val="00D74CAB"/>
    <w:rsid w:val="00E30BB3"/>
    <w:rsid w:val="00EB407F"/>
    <w:rsid w:val="00F216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E4FB5"/>
  <w15:chartTrackingRefBased/>
  <w15:docId w15:val="{30663442-165A-4E2E-B860-C8403B1CD0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4F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4F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4F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4F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4F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4F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F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F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F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F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4F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4F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4F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4F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4F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F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F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F53"/>
    <w:rPr>
      <w:rFonts w:eastAsiaTheme="majorEastAsia" w:cstheme="majorBidi"/>
      <w:color w:val="272727" w:themeColor="text1" w:themeTint="D8"/>
    </w:rPr>
  </w:style>
  <w:style w:type="paragraph" w:styleId="Title">
    <w:name w:val="Title"/>
    <w:basedOn w:val="Normal"/>
    <w:next w:val="Normal"/>
    <w:link w:val="TitleChar"/>
    <w:uiPriority w:val="10"/>
    <w:qFormat/>
    <w:rsid w:val="003B4F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4F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4F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4F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4F53"/>
    <w:pPr>
      <w:spacing w:before="160"/>
      <w:jc w:val="center"/>
    </w:pPr>
    <w:rPr>
      <w:i/>
      <w:iCs/>
      <w:color w:val="404040" w:themeColor="text1" w:themeTint="BF"/>
    </w:rPr>
  </w:style>
  <w:style w:type="character" w:customStyle="1" w:styleId="QuoteChar">
    <w:name w:val="Quote Char"/>
    <w:basedOn w:val="DefaultParagraphFont"/>
    <w:link w:val="Quote"/>
    <w:uiPriority w:val="29"/>
    <w:rsid w:val="003B4F53"/>
    <w:rPr>
      <w:i/>
      <w:iCs/>
      <w:color w:val="404040" w:themeColor="text1" w:themeTint="BF"/>
    </w:rPr>
  </w:style>
  <w:style w:type="paragraph" w:styleId="ListParagraph">
    <w:name w:val="List Paragraph"/>
    <w:basedOn w:val="Normal"/>
    <w:uiPriority w:val="34"/>
    <w:qFormat/>
    <w:rsid w:val="003B4F53"/>
    <w:pPr>
      <w:ind w:left="720"/>
      <w:contextualSpacing/>
    </w:pPr>
  </w:style>
  <w:style w:type="character" w:styleId="IntenseEmphasis">
    <w:name w:val="Intense Emphasis"/>
    <w:basedOn w:val="DefaultParagraphFont"/>
    <w:uiPriority w:val="21"/>
    <w:qFormat/>
    <w:rsid w:val="003B4F53"/>
    <w:rPr>
      <w:i/>
      <w:iCs/>
      <w:color w:val="0F4761" w:themeColor="accent1" w:themeShade="BF"/>
    </w:rPr>
  </w:style>
  <w:style w:type="paragraph" w:styleId="IntenseQuote">
    <w:name w:val="Intense Quote"/>
    <w:basedOn w:val="Normal"/>
    <w:next w:val="Normal"/>
    <w:link w:val="IntenseQuoteChar"/>
    <w:uiPriority w:val="30"/>
    <w:qFormat/>
    <w:rsid w:val="003B4F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4F53"/>
    <w:rPr>
      <w:i/>
      <w:iCs/>
      <w:color w:val="0F4761" w:themeColor="accent1" w:themeShade="BF"/>
    </w:rPr>
  </w:style>
  <w:style w:type="character" w:styleId="IntenseReference">
    <w:name w:val="Intense Reference"/>
    <w:basedOn w:val="DefaultParagraphFont"/>
    <w:uiPriority w:val="32"/>
    <w:qFormat/>
    <w:rsid w:val="003B4F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4449869">
      <w:bodyDiv w:val="1"/>
      <w:marLeft w:val="0"/>
      <w:marRight w:val="0"/>
      <w:marTop w:val="0"/>
      <w:marBottom w:val="0"/>
      <w:divBdr>
        <w:top w:val="none" w:sz="0" w:space="0" w:color="auto"/>
        <w:left w:val="none" w:sz="0" w:space="0" w:color="auto"/>
        <w:bottom w:val="none" w:sz="0" w:space="0" w:color="auto"/>
        <w:right w:val="none" w:sz="0" w:space="0" w:color="auto"/>
      </w:divBdr>
    </w:div>
    <w:div w:id="1539973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3</Pages>
  <Words>659</Words>
  <Characters>3762</Characters>
  <Application>Microsoft Office Word</Application>
  <DocSecurity>0</DocSecurity>
  <Lines>31</Lines>
  <Paragraphs>8</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Product</dc:creator>
  <cp:keywords/>
  <dc:description/>
  <cp:lastModifiedBy>Ankit Product</cp:lastModifiedBy>
  <cp:revision>36</cp:revision>
  <dcterms:created xsi:type="dcterms:W3CDTF">2024-12-13T04:22:00Z</dcterms:created>
  <dcterms:modified xsi:type="dcterms:W3CDTF">2024-12-13T06:55:00Z</dcterms:modified>
</cp:coreProperties>
</file>