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2051" w:rsidRDefault="004E6656" w:rsidP="004E6656">
      <w:pPr>
        <w:pStyle w:val="Title"/>
      </w:pPr>
      <w:r>
        <w:rPr>
          <w:rFonts w:hint="eastAsia"/>
        </w:rPr>
        <w:t>GSBA</w:t>
      </w:r>
      <w:r>
        <w:t xml:space="preserve"> </w:t>
      </w:r>
      <w:r>
        <w:rPr>
          <w:rFonts w:hint="eastAsia"/>
        </w:rPr>
        <w:t>545</w:t>
      </w:r>
      <w:r>
        <w:t xml:space="preserve"> </w:t>
      </w:r>
      <w:r>
        <w:rPr>
          <w:rFonts w:hint="eastAsia"/>
        </w:rPr>
        <w:t>for</w:t>
      </w:r>
      <w:r>
        <w:t xml:space="preserve"> MSBA, Homework </w:t>
      </w:r>
      <w:r>
        <w:rPr>
          <w:rFonts w:hint="eastAsia"/>
        </w:rPr>
        <w:t>4</w:t>
      </w:r>
    </w:p>
    <w:p w:rsidR="004E6656" w:rsidRDefault="004E6656" w:rsidP="004E6656">
      <w:pPr>
        <w:pStyle w:val="Heading2"/>
      </w:pPr>
      <w:proofErr w:type="spellStart"/>
      <w:r>
        <w:rPr>
          <w:rFonts w:hint="eastAsia"/>
        </w:rPr>
        <w:t>Chengj</w:t>
      </w:r>
      <w:r>
        <w:t>un</w:t>
      </w:r>
      <w:proofErr w:type="spellEnd"/>
      <w:r>
        <w:t xml:space="preserve"> Liu, 7116099552</w:t>
      </w:r>
    </w:p>
    <w:p w:rsidR="004E6656" w:rsidRDefault="004E6656" w:rsidP="004E6656">
      <w:pPr>
        <w:pStyle w:val="ListParagraph"/>
        <w:numPr>
          <w:ilvl w:val="0"/>
          <w:numId w:val="1"/>
        </w:numPr>
      </w:pPr>
      <w:r>
        <w:t xml:space="preserve">Answers: </w:t>
      </w:r>
    </w:p>
    <w:p w:rsidR="004E6656" w:rsidRDefault="004E6656" w:rsidP="004E6656">
      <w:pPr>
        <w:pStyle w:val="ListParagraph"/>
        <w:numPr>
          <w:ilvl w:val="1"/>
          <w:numId w:val="1"/>
        </w:numPr>
      </w:pPr>
      <w:r>
        <w:t xml:space="preserve">To prove the sex proportion is independent of coke types, we apply chi-square independent test. The test statistic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den>
            </m:f>
          </m:e>
        </m:nary>
      </m:oMath>
      <w:r>
        <w:t>.</w:t>
      </w:r>
    </w:p>
    <w:p w:rsidR="003035AC" w:rsidRDefault="004E6656" w:rsidP="003035AC">
      <w:pPr>
        <w:pStyle w:val="ListParagraph"/>
        <w:numPr>
          <w:ilvl w:val="1"/>
          <w:numId w:val="1"/>
        </w:numPr>
      </w:pPr>
      <w:r>
        <w:t xml:space="preserve">By calculation, </w:t>
      </w:r>
      <w:r w:rsidR="003D5255">
        <w:t>with</w:t>
      </w:r>
      <w:r>
        <w:t xml:space="preserve"> degree of freedom </w:t>
      </w:r>
      <w:r w:rsidR="003D5255">
        <w:t>of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c-1</m:t>
            </m:r>
          </m:e>
        </m:d>
        <m:r>
          <w:rPr>
            <w:rFonts w:ascii="Cambria Math" w:hAnsi="Cambria Math"/>
          </w:rPr>
          <m:t>=1</m:t>
        </m:r>
      </m:oMath>
      <w:r w:rsidR="003D5255">
        <w:t>, t</w:t>
      </w:r>
      <w:r>
        <w:t>he p-value is 0.</w:t>
      </w:r>
      <w:r w:rsidR="003D5255">
        <w:t>881556</w:t>
      </w:r>
      <w:r>
        <w:t>, far from 0.1 significance. We tend to believe that there’s no difference of sex proportion between Pepsi and Coke.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039"/>
        <w:gridCol w:w="1553"/>
        <w:gridCol w:w="2012"/>
        <w:gridCol w:w="1412"/>
      </w:tblGrid>
      <w:tr w:rsidR="003035AC" w:rsidRPr="003035AC" w:rsidTr="003035AC">
        <w:trPr>
          <w:trHeight w:val="288"/>
        </w:trPr>
        <w:tc>
          <w:tcPr>
            <w:tcW w:w="2240" w:type="pct"/>
            <w:noWrap/>
            <w:hideMark/>
          </w:tcPr>
          <w:p w:rsidR="003035AC" w:rsidRPr="003035AC" w:rsidRDefault="003035AC" w:rsidP="003035AC">
            <w:pPr>
              <w:rPr>
                <w:rFonts w:eastAsia="Times New Roman" w:cstheme="minorHAnsi"/>
                <w:sz w:val="24"/>
                <w:szCs w:val="24"/>
              </w:rPr>
            </w:pPr>
            <w:r w:rsidRPr="003035AC">
              <w:rPr>
                <w:rFonts w:eastAsia="Times New Roman" w:cstheme="minorHAnsi"/>
                <w:sz w:val="24"/>
                <w:szCs w:val="24"/>
              </w:rPr>
              <w:t>Expected Value</w:t>
            </w:r>
          </w:p>
        </w:tc>
        <w:tc>
          <w:tcPr>
            <w:tcW w:w="861" w:type="pct"/>
            <w:noWrap/>
            <w:hideMark/>
          </w:tcPr>
          <w:p w:rsidR="003035AC" w:rsidRPr="003035AC" w:rsidRDefault="003035AC" w:rsidP="003035AC">
            <w:pPr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M</w:t>
            </w:r>
            <w:r w:rsidRPr="003035AC">
              <w:rPr>
                <w:rFonts w:eastAsia="Times New Roman" w:cstheme="minorHAnsi"/>
                <w:color w:val="000000"/>
              </w:rPr>
              <w:t>ale</w:t>
            </w:r>
          </w:p>
        </w:tc>
        <w:tc>
          <w:tcPr>
            <w:tcW w:w="1116" w:type="pct"/>
            <w:noWrap/>
            <w:hideMark/>
          </w:tcPr>
          <w:p w:rsidR="003035AC" w:rsidRPr="003035AC" w:rsidRDefault="003035AC" w:rsidP="003035AC">
            <w:pPr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F</w:t>
            </w:r>
            <w:r w:rsidRPr="003035AC">
              <w:rPr>
                <w:rFonts w:eastAsia="Times New Roman" w:cstheme="minorHAnsi"/>
                <w:color w:val="000000"/>
              </w:rPr>
              <w:t>emale</w:t>
            </w:r>
          </w:p>
        </w:tc>
        <w:tc>
          <w:tcPr>
            <w:tcW w:w="783" w:type="pct"/>
            <w:noWrap/>
            <w:hideMark/>
          </w:tcPr>
          <w:p w:rsidR="003035AC" w:rsidRPr="003035AC" w:rsidRDefault="003035AC" w:rsidP="003035AC">
            <w:pPr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Sum</w:t>
            </w:r>
          </w:p>
        </w:tc>
      </w:tr>
      <w:tr w:rsidR="003035AC" w:rsidRPr="003035AC" w:rsidTr="003035AC">
        <w:trPr>
          <w:trHeight w:val="288"/>
        </w:trPr>
        <w:tc>
          <w:tcPr>
            <w:tcW w:w="2240" w:type="pct"/>
            <w:noWrap/>
            <w:hideMark/>
          </w:tcPr>
          <w:p w:rsidR="003035AC" w:rsidRPr="003035AC" w:rsidRDefault="003035AC" w:rsidP="003035AC">
            <w:pPr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C</w:t>
            </w:r>
            <w:r>
              <w:rPr>
                <w:rFonts w:eastAsia="Times New Roman" w:cstheme="minorHAnsi"/>
                <w:color w:val="000000"/>
              </w:rPr>
              <w:t>oke</w:t>
            </w:r>
          </w:p>
        </w:tc>
        <w:tc>
          <w:tcPr>
            <w:tcW w:w="861" w:type="pct"/>
            <w:noWrap/>
            <w:hideMark/>
          </w:tcPr>
          <w:p w:rsidR="003035AC" w:rsidRPr="003035AC" w:rsidRDefault="003035AC" w:rsidP="003035AC">
            <w:pPr>
              <w:ind w:right="440"/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7</w:t>
            </w:r>
            <w:r>
              <w:rPr>
                <w:rFonts w:eastAsia="Times New Roman" w:cstheme="minorHAnsi"/>
                <w:color w:val="000000"/>
              </w:rPr>
              <w:t>1.5</w:t>
            </w:r>
          </w:p>
        </w:tc>
        <w:tc>
          <w:tcPr>
            <w:tcW w:w="1116" w:type="pct"/>
            <w:noWrap/>
            <w:hideMark/>
          </w:tcPr>
          <w:p w:rsidR="003035AC" w:rsidRPr="003035AC" w:rsidRDefault="003035AC" w:rsidP="003035AC">
            <w:pPr>
              <w:ind w:right="440"/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38</w:t>
            </w:r>
            <w:r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783" w:type="pct"/>
            <w:noWrap/>
            <w:hideMark/>
          </w:tcPr>
          <w:p w:rsidR="003035AC" w:rsidRPr="003035AC" w:rsidRDefault="003035AC" w:rsidP="003035AC">
            <w:pPr>
              <w:ind w:right="440"/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110</w:t>
            </w:r>
          </w:p>
        </w:tc>
      </w:tr>
      <w:tr w:rsidR="003035AC" w:rsidRPr="003035AC" w:rsidTr="003035AC">
        <w:trPr>
          <w:trHeight w:val="288"/>
        </w:trPr>
        <w:tc>
          <w:tcPr>
            <w:tcW w:w="2240" w:type="pct"/>
            <w:noWrap/>
            <w:hideMark/>
          </w:tcPr>
          <w:p w:rsidR="003035AC" w:rsidRPr="003035AC" w:rsidRDefault="003035AC" w:rsidP="003035AC">
            <w:pPr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P</w:t>
            </w:r>
            <w:r>
              <w:rPr>
                <w:rFonts w:eastAsia="Times New Roman" w:cstheme="minorHAnsi"/>
                <w:color w:val="000000"/>
              </w:rPr>
              <w:t>epsi</w:t>
            </w:r>
          </w:p>
        </w:tc>
        <w:tc>
          <w:tcPr>
            <w:tcW w:w="861" w:type="pct"/>
            <w:noWrap/>
            <w:hideMark/>
          </w:tcPr>
          <w:p w:rsidR="003035AC" w:rsidRPr="003035AC" w:rsidRDefault="003035AC" w:rsidP="003035AC">
            <w:pPr>
              <w:ind w:right="440"/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58</w:t>
            </w:r>
            <w:r>
              <w:rPr>
                <w:rFonts w:eastAsia="Times New Roman" w:cstheme="minorHAnsi"/>
                <w:color w:val="000000"/>
              </w:rPr>
              <w:t>.5</w:t>
            </w:r>
          </w:p>
        </w:tc>
        <w:tc>
          <w:tcPr>
            <w:tcW w:w="1116" w:type="pct"/>
            <w:noWrap/>
            <w:hideMark/>
          </w:tcPr>
          <w:p w:rsidR="003035AC" w:rsidRPr="003035AC" w:rsidRDefault="003035AC" w:rsidP="003035AC">
            <w:pPr>
              <w:ind w:right="440"/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3</w:t>
            </w:r>
            <w:r>
              <w:rPr>
                <w:rFonts w:eastAsia="Times New Roman" w:cstheme="minorHAnsi"/>
                <w:color w:val="000000"/>
              </w:rPr>
              <w:t>1.5</w:t>
            </w:r>
          </w:p>
        </w:tc>
        <w:tc>
          <w:tcPr>
            <w:tcW w:w="783" w:type="pct"/>
            <w:noWrap/>
            <w:hideMark/>
          </w:tcPr>
          <w:p w:rsidR="003035AC" w:rsidRPr="003035AC" w:rsidRDefault="003035AC" w:rsidP="003035AC">
            <w:pPr>
              <w:ind w:right="440"/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90</w:t>
            </w:r>
          </w:p>
        </w:tc>
      </w:tr>
      <w:tr w:rsidR="003035AC" w:rsidRPr="003035AC" w:rsidTr="003035AC">
        <w:trPr>
          <w:trHeight w:val="288"/>
        </w:trPr>
        <w:tc>
          <w:tcPr>
            <w:tcW w:w="2240" w:type="pct"/>
            <w:noWrap/>
            <w:hideMark/>
          </w:tcPr>
          <w:p w:rsidR="003035AC" w:rsidRPr="003035AC" w:rsidRDefault="003035AC" w:rsidP="003035AC">
            <w:pPr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Sum</w:t>
            </w:r>
          </w:p>
        </w:tc>
        <w:tc>
          <w:tcPr>
            <w:tcW w:w="861" w:type="pct"/>
            <w:noWrap/>
            <w:hideMark/>
          </w:tcPr>
          <w:p w:rsidR="003035AC" w:rsidRPr="003035AC" w:rsidRDefault="003035AC" w:rsidP="003035AC">
            <w:pPr>
              <w:ind w:right="440"/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130</w:t>
            </w:r>
          </w:p>
        </w:tc>
        <w:tc>
          <w:tcPr>
            <w:tcW w:w="1116" w:type="pct"/>
            <w:noWrap/>
            <w:hideMark/>
          </w:tcPr>
          <w:p w:rsidR="003035AC" w:rsidRPr="003035AC" w:rsidRDefault="003035AC" w:rsidP="003035AC">
            <w:pPr>
              <w:ind w:right="440"/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70</w:t>
            </w:r>
          </w:p>
        </w:tc>
        <w:tc>
          <w:tcPr>
            <w:tcW w:w="783" w:type="pct"/>
            <w:noWrap/>
            <w:hideMark/>
          </w:tcPr>
          <w:p w:rsidR="003035AC" w:rsidRPr="003035AC" w:rsidRDefault="003035AC" w:rsidP="003035AC">
            <w:pPr>
              <w:ind w:right="440"/>
              <w:rPr>
                <w:rFonts w:eastAsia="Times New Roman" w:cstheme="minorHAnsi"/>
                <w:color w:val="000000"/>
              </w:rPr>
            </w:pPr>
            <w:r w:rsidRPr="003035AC">
              <w:rPr>
                <w:rFonts w:eastAsia="Times New Roman" w:cstheme="minorHAnsi"/>
                <w:color w:val="000000"/>
              </w:rPr>
              <w:t>200</w:t>
            </w:r>
          </w:p>
        </w:tc>
      </w:tr>
    </w:tbl>
    <w:p w:rsidR="003035AC" w:rsidRDefault="003035AC" w:rsidP="003035AC">
      <w:pPr>
        <w:pStyle w:val="ListParagraph"/>
        <w:ind w:left="1440"/>
      </w:pPr>
    </w:p>
    <w:p w:rsidR="004E6656" w:rsidRDefault="004E6656" w:rsidP="004E6656">
      <w:pPr>
        <w:pStyle w:val="ListParagraph"/>
        <w:numPr>
          <w:ilvl w:val="0"/>
          <w:numId w:val="1"/>
        </w:numPr>
      </w:pPr>
      <w:r>
        <w:t xml:space="preserve"> </w:t>
      </w:r>
      <w:r w:rsidR="003D5255">
        <w:t xml:space="preserve">By calculation, with degree of freedom of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c-1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4</m:t>
        </m:r>
      </m:oMath>
      <w:r w:rsidR="003D5255">
        <w:rPr>
          <w:rFonts w:hint="eastAsia"/>
        </w:rPr>
        <w:t>,</w:t>
      </w:r>
      <w:r w:rsidR="003D5255">
        <w:t xml:space="preserve"> the p-value is 0.0872. Under 0.1 significance, it is enough to reject the hypothesis of independence and believe that party affiliation has some relationship with education levels.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23"/>
        <w:gridCol w:w="1777"/>
        <w:gridCol w:w="1776"/>
        <w:gridCol w:w="1913"/>
        <w:gridCol w:w="927"/>
      </w:tblGrid>
      <w:tr w:rsidR="003035AC" w:rsidRPr="003035AC" w:rsidTr="003035AC">
        <w:trPr>
          <w:trHeight w:val="288"/>
        </w:trPr>
        <w:tc>
          <w:tcPr>
            <w:tcW w:w="1453" w:type="pct"/>
            <w:noWrap/>
            <w:hideMark/>
          </w:tcPr>
          <w:p w:rsidR="003035AC" w:rsidRPr="003035AC" w:rsidRDefault="003035AC" w:rsidP="003035AC">
            <w:r>
              <w:t>Expected value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noWrap/>
            <w:hideMark/>
          </w:tcPr>
          <w:p w:rsidR="003035AC" w:rsidRPr="003035AC" w:rsidRDefault="003035AC" w:rsidP="003035AC">
            <w:r>
              <w:t>Democrat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noWrap/>
            <w:hideMark/>
          </w:tcPr>
          <w:p w:rsidR="003035AC" w:rsidRPr="003035AC" w:rsidRDefault="003035AC" w:rsidP="003035AC">
            <w:r>
              <w:t>Republic</w:t>
            </w:r>
          </w:p>
        </w:tc>
        <w:tc>
          <w:tcPr>
            <w:tcW w:w="1061" w:type="pct"/>
            <w:tcBorders>
              <w:bottom w:val="single" w:sz="4" w:space="0" w:color="auto"/>
            </w:tcBorders>
            <w:noWrap/>
            <w:hideMark/>
          </w:tcPr>
          <w:p w:rsidR="003035AC" w:rsidRPr="003035AC" w:rsidRDefault="003035AC" w:rsidP="003035AC">
            <w:r>
              <w:t>Independent</w:t>
            </w:r>
          </w:p>
        </w:tc>
        <w:tc>
          <w:tcPr>
            <w:tcW w:w="514" w:type="pct"/>
            <w:noWrap/>
            <w:hideMark/>
          </w:tcPr>
          <w:p w:rsidR="003035AC" w:rsidRPr="003035AC" w:rsidRDefault="003035AC" w:rsidP="003035AC">
            <w:r>
              <w:t>Sum</w:t>
            </w:r>
          </w:p>
        </w:tc>
      </w:tr>
      <w:tr w:rsidR="003035AC" w:rsidRPr="003035AC" w:rsidTr="003035AC">
        <w:trPr>
          <w:trHeight w:val="288"/>
        </w:trPr>
        <w:tc>
          <w:tcPr>
            <w:tcW w:w="1453" w:type="pct"/>
            <w:noWrap/>
            <w:hideMark/>
          </w:tcPr>
          <w:p w:rsidR="003035AC" w:rsidRPr="003035AC" w:rsidRDefault="003035AC" w:rsidP="003035AC">
            <w:r>
              <w:t>Under High School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5AC" w:rsidRDefault="003035AC" w:rsidP="003035AC">
            <w:pPr>
              <w:ind w:right="4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113.1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5AC" w:rsidRDefault="003035AC" w:rsidP="003035AC">
            <w:pPr>
              <w:ind w:right="4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78.3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AC" w:rsidRDefault="003035AC" w:rsidP="003035AC">
            <w:pPr>
              <w:ind w:right="4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98.6</w:t>
            </w:r>
          </w:p>
        </w:tc>
        <w:tc>
          <w:tcPr>
            <w:tcW w:w="514" w:type="pct"/>
            <w:noWrap/>
            <w:hideMark/>
          </w:tcPr>
          <w:p w:rsidR="003035AC" w:rsidRPr="003035AC" w:rsidRDefault="003035AC" w:rsidP="003035AC">
            <w:r w:rsidRPr="003035AC">
              <w:t>290</w:t>
            </w:r>
          </w:p>
        </w:tc>
      </w:tr>
      <w:tr w:rsidR="003035AC" w:rsidRPr="003035AC" w:rsidTr="003035AC">
        <w:trPr>
          <w:trHeight w:val="288"/>
        </w:trPr>
        <w:tc>
          <w:tcPr>
            <w:tcW w:w="1453" w:type="pct"/>
            <w:noWrap/>
            <w:hideMark/>
          </w:tcPr>
          <w:p w:rsidR="003035AC" w:rsidRPr="003035AC" w:rsidRDefault="003035AC" w:rsidP="003035AC">
            <w:r>
              <w:t>High School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5AC" w:rsidRDefault="003035AC" w:rsidP="003035AC">
            <w:pPr>
              <w:ind w:right="8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126.75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5AC" w:rsidRDefault="003035AC" w:rsidP="003035AC">
            <w:pPr>
              <w:ind w:right="4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87.75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AC" w:rsidRDefault="003035AC" w:rsidP="003035AC">
            <w:pPr>
              <w:ind w:right="4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110.5</w:t>
            </w:r>
          </w:p>
        </w:tc>
        <w:tc>
          <w:tcPr>
            <w:tcW w:w="514" w:type="pct"/>
            <w:noWrap/>
            <w:hideMark/>
          </w:tcPr>
          <w:p w:rsidR="003035AC" w:rsidRPr="003035AC" w:rsidRDefault="003035AC" w:rsidP="003035AC">
            <w:r w:rsidRPr="003035AC">
              <w:t>325</w:t>
            </w:r>
          </w:p>
        </w:tc>
      </w:tr>
      <w:tr w:rsidR="003035AC" w:rsidRPr="003035AC" w:rsidTr="003035AC">
        <w:trPr>
          <w:trHeight w:val="288"/>
        </w:trPr>
        <w:tc>
          <w:tcPr>
            <w:tcW w:w="1453" w:type="pct"/>
            <w:noWrap/>
            <w:hideMark/>
          </w:tcPr>
          <w:p w:rsidR="003035AC" w:rsidRPr="003035AC" w:rsidRDefault="003035AC" w:rsidP="003035AC">
            <w:r>
              <w:t>College</w:t>
            </w:r>
          </w:p>
        </w:tc>
        <w:tc>
          <w:tcPr>
            <w:tcW w:w="9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5AC" w:rsidRDefault="003035AC" w:rsidP="003035AC">
            <w:pPr>
              <w:ind w:right="88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150.15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35AC" w:rsidRDefault="003035AC" w:rsidP="003035AC">
            <w:pPr>
              <w:ind w:right="4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103.95</w:t>
            </w: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035AC" w:rsidRDefault="003035AC" w:rsidP="003035AC">
            <w:pPr>
              <w:ind w:right="44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130.9</w:t>
            </w:r>
          </w:p>
        </w:tc>
        <w:tc>
          <w:tcPr>
            <w:tcW w:w="514" w:type="pct"/>
            <w:noWrap/>
            <w:hideMark/>
          </w:tcPr>
          <w:p w:rsidR="003035AC" w:rsidRPr="003035AC" w:rsidRDefault="003035AC" w:rsidP="003035AC">
            <w:r w:rsidRPr="003035AC">
              <w:t>385</w:t>
            </w:r>
          </w:p>
        </w:tc>
      </w:tr>
      <w:tr w:rsidR="003035AC" w:rsidRPr="003035AC" w:rsidTr="003035AC">
        <w:trPr>
          <w:trHeight w:val="288"/>
        </w:trPr>
        <w:tc>
          <w:tcPr>
            <w:tcW w:w="1453" w:type="pct"/>
            <w:noWrap/>
            <w:hideMark/>
          </w:tcPr>
          <w:p w:rsidR="003035AC" w:rsidRPr="003035AC" w:rsidRDefault="003035AC" w:rsidP="003035AC">
            <w:r>
              <w:t>Sum</w:t>
            </w:r>
          </w:p>
        </w:tc>
        <w:tc>
          <w:tcPr>
            <w:tcW w:w="985" w:type="pct"/>
            <w:tcBorders>
              <w:top w:val="single" w:sz="4" w:space="0" w:color="auto"/>
            </w:tcBorders>
            <w:noWrap/>
            <w:hideMark/>
          </w:tcPr>
          <w:p w:rsidR="003035AC" w:rsidRPr="003035AC" w:rsidRDefault="003035AC" w:rsidP="003035AC">
            <w:r w:rsidRPr="003035AC">
              <w:t>390</w:t>
            </w:r>
          </w:p>
        </w:tc>
        <w:tc>
          <w:tcPr>
            <w:tcW w:w="985" w:type="pct"/>
            <w:tcBorders>
              <w:top w:val="single" w:sz="4" w:space="0" w:color="auto"/>
            </w:tcBorders>
            <w:noWrap/>
            <w:hideMark/>
          </w:tcPr>
          <w:p w:rsidR="003035AC" w:rsidRPr="003035AC" w:rsidRDefault="003035AC" w:rsidP="003035AC">
            <w:r w:rsidRPr="003035AC">
              <w:t>270</w:t>
            </w:r>
          </w:p>
        </w:tc>
        <w:tc>
          <w:tcPr>
            <w:tcW w:w="1061" w:type="pct"/>
            <w:tcBorders>
              <w:top w:val="single" w:sz="4" w:space="0" w:color="auto"/>
            </w:tcBorders>
            <w:noWrap/>
            <w:hideMark/>
          </w:tcPr>
          <w:p w:rsidR="003035AC" w:rsidRPr="003035AC" w:rsidRDefault="003035AC" w:rsidP="003035AC">
            <w:r w:rsidRPr="003035AC">
              <w:t>340</w:t>
            </w:r>
          </w:p>
        </w:tc>
        <w:tc>
          <w:tcPr>
            <w:tcW w:w="514" w:type="pct"/>
            <w:noWrap/>
            <w:hideMark/>
          </w:tcPr>
          <w:p w:rsidR="003035AC" w:rsidRPr="003035AC" w:rsidRDefault="003035AC" w:rsidP="003035AC">
            <w:r w:rsidRPr="003035AC">
              <w:t>1000</w:t>
            </w:r>
          </w:p>
        </w:tc>
      </w:tr>
    </w:tbl>
    <w:p w:rsidR="003035AC" w:rsidRDefault="003035AC" w:rsidP="003035AC">
      <w:pPr>
        <w:pStyle w:val="ListParagraph"/>
      </w:pPr>
    </w:p>
    <w:p w:rsidR="003D5255" w:rsidRDefault="003D5255" w:rsidP="004E6656">
      <w:pPr>
        <w:pStyle w:val="ListParagraph"/>
        <w:numPr>
          <w:ilvl w:val="0"/>
          <w:numId w:val="1"/>
        </w:numPr>
      </w:pPr>
      <w:r>
        <w:t>Answers:</w:t>
      </w:r>
    </w:p>
    <w:p w:rsidR="003D5255" w:rsidRDefault="003D5255" w:rsidP="003D5255">
      <w:pPr>
        <w:pStyle w:val="ListParagraph"/>
        <w:numPr>
          <w:ilvl w:val="1"/>
          <w:numId w:val="1"/>
        </w:numPr>
      </w:pPr>
      <w:r>
        <w:t xml:space="preserve">The null hypothesis is that the probability follows 1/6 for each die </w:t>
      </w:r>
      <w:proofErr w:type="gramStart"/>
      <w:r>
        <w:t>number</w:t>
      </w:r>
      <w:r w:rsidR="003035AC"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3035AC">
        <w:t>)</w:t>
      </w:r>
      <w:r>
        <w:t>. The alternative hypothesis is that at least one probability of one die number differs from 1/6</w:t>
      </w:r>
      <w:r w:rsidR="003035A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 w:rsidR="003035AC">
        <w:t>)</w:t>
      </w:r>
      <w:r>
        <w:t>.</w:t>
      </w:r>
      <w:bookmarkStart w:id="0" w:name="_GoBack"/>
      <w:bookmarkEnd w:id="0"/>
    </w:p>
    <w:p w:rsidR="003D5255" w:rsidRDefault="003D5255" w:rsidP="003D5255">
      <w:pPr>
        <w:pStyle w:val="ListParagraph"/>
        <w:numPr>
          <w:ilvl w:val="1"/>
          <w:numId w:val="1"/>
        </w:numPr>
      </w:pPr>
      <w:r>
        <w:t xml:space="preserve">The p-value is approximately </w:t>
      </w:r>
      <m:oMath>
        <m:r>
          <w:rPr>
            <w:rFonts w:ascii="Cambria Math" w:hAnsi="Cambria Math"/>
          </w:rPr>
          <m:t>5.94×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1"/>
        <w:gridCol w:w="1238"/>
        <w:gridCol w:w="1238"/>
        <w:gridCol w:w="1239"/>
        <w:gridCol w:w="1239"/>
        <w:gridCol w:w="1239"/>
        <w:gridCol w:w="1232"/>
      </w:tblGrid>
      <w:tr w:rsidR="003035AC" w:rsidRPr="003035AC" w:rsidTr="003035AC">
        <w:trPr>
          <w:trHeight w:val="288"/>
        </w:trPr>
        <w:tc>
          <w:tcPr>
            <w:tcW w:w="882" w:type="pct"/>
            <w:noWrap/>
          </w:tcPr>
          <w:p w:rsidR="003035AC" w:rsidRPr="003035AC" w:rsidRDefault="003035AC"/>
        </w:tc>
        <w:tc>
          <w:tcPr>
            <w:tcW w:w="687" w:type="pct"/>
            <w:noWrap/>
          </w:tcPr>
          <w:p w:rsidR="003035AC" w:rsidRPr="003035AC" w:rsidRDefault="003035AC" w:rsidP="003035AC">
            <w:r>
              <w:t>1</w:t>
            </w:r>
          </w:p>
        </w:tc>
        <w:tc>
          <w:tcPr>
            <w:tcW w:w="687" w:type="pct"/>
            <w:noWrap/>
          </w:tcPr>
          <w:p w:rsidR="003035AC" w:rsidRPr="003035AC" w:rsidRDefault="003035AC" w:rsidP="003035AC">
            <w:r>
              <w:t>2</w:t>
            </w:r>
          </w:p>
        </w:tc>
        <w:tc>
          <w:tcPr>
            <w:tcW w:w="687" w:type="pct"/>
            <w:noWrap/>
          </w:tcPr>
          <w:p w:rsidR="003035AC" w:rsidRPr="003035AC" w:rsidRDefault="003035AC" w:rsidP="003035AC">
            <w:r>
              <w:t>3</w:t>
            </w:r>
          </w:p>
        </w:tc>
        <w:tc>
          <w:tcPr>
            <w:tcW w:w="687" w:type="pct"/>
            <w:noWrap/>
          </w:tcPr>
          <w:p w:rsidR="003035AC" w:rsidRPr="003035AC" w:rsidRDefault="003035AC" w:rsidP="003035AC">
            <w:r>
              <w:t>4</w:t>
            </w:r>
          </w:p>
        </w:tc>
        <w:tc>
          <w:tcPr>
            <w:tcW w:w="687" w:type="pct"/>
            <w:noWrap/>
          </w:tcPr>
          <w:p w:rsidR="003035AC" w:rsidRPr="003035AC" w:rsidRDefault="003035AC" w:rsidP="003035AC">
            <w:r>
              <w:t>5</w:t>
            </w:r>
          </w:p>
        </w:tc>
        <w:tc>
          <w:tcPr>
            <w:tcW w:w="684" w:type="pct"/>
            <w:noWrap/>
          </w:tcPr>
          <w:p w:rsidR="003035AC" w:rsidRPr="003035AC" w:rsidRDefault="003035AC" w:rsidP="003035AC">
            <w:r>
              <w:t>6</w:t>
            </w:r>
          </w:p>
        </w:tc>
      </w:tr>
      <w:tr w:rsidR="003035AC" w:rsidRPr="003035AC" w:rsidTr="003035AC">
        <w:trPr>
          <w:trHeight w:val="288"/>
        </w:trPr>
        <w:tc>
          <w:tcPr>
            <w:tcW w:w="882" w:type="pct"/>
            <w:noWrap/>
            <w:hideMark/>
          </w:tcPr>
          <w:p w:rsidR="003035AC" w:rsidRPr="003035AC" w:rsidRDefault="003035AC" w:rsidP="003035AC">
            <w:r>
              <w:t>Expected Value</w:t>
            </w:r>
          </w:p>
        </w:tc>
        <w:tc>
          <w:tcPr>
            <w:tcW w:w="687" w:type="pct"/>
            <w:noWrap/>
            <w:hideMark/>
          </w:tcPr>
          <w:p w:rsidR="003035AC" w:rsidRPr="003035AC" w:rsidRDefault="003035AC" w:rsidP="003035AC">
            <w:r w:rsidRPr="003035AC">
              <w:t>166.6667</w:t>
            </w:r>
          </w:p>
        </w:tc>
        <w:tc>
          <w:tcPr>
            <w:tcW w:w="687" w:type="pct"/>
            <w:noWrap/>
            <w:hideMark/>
          </w:tcPr>
          <w:p w:rsidR="003035AC" w:rsidRPr="003035AC" w:rsidRDefault="003035AC" w:rsidP="003035AC">
            <w:r w:rsidRPr="003035AC">
              <w:t>166.6667</w:t>
            </w:r>
          </w:p>
        </w:tc>
        <w:tc>
          <w:tcPr>
            <w:tcW w:w="687" w:type="pct"/>
            <w:noWrap/>
            <w:hideMark/>
          </w:tcPr>
          <w:p w:rsidR="003035AC" w:rsidRPr="003035AC" w:rsidRDefault="003035AC" w:rsidP="003035AC">
            <w:r w:rsidRPr="003035AC">
              <w:t>166.6667</w:t>
            </w:r>
          </w:p>
        </w:tc>
        <w:tc>
          <w:tcPr>
            <w:tcW w:w="687" w:type="pct"/>
            <w:noWrap/>
            <w:hideMark/>
          </w:tcPr>
          <w:p w:rsidR="003035AC" w:rsidRPr="003035AC" w:rsidRDefault="003035AC" w:rsidP="003035AC">
            <w:r w:rsidRPr="003035AC">
              <w:t>166.6667</w:t>
            </w:r>
          </w:p>
        </w:tc>
        <w:tc>
          <w:tcPr>
            <w:tcW w:w="687" w:type="pct"/>
            <w:noWrap/>
            <w:hideMark/>
          </w:tcPr>
          <w:p w:rsidR="003035AC" w:rsidRPr="003035AC" w:rsidRDefault="003035AC" w:rsidP="003035AC">
            <w:r w:rsidRPr="003035AC">
              <w:t>166.6667</w:t>
            </w:r>
          </w:p>
        </w:tc>
        <w:tc>
          <w:tcPr>
            <w:tcW w:w="684" w:type="pct"/>
            <w:noWrap/>
            <w:hideMark/>
          </w:tcPr>
          <w:p w:rsidR="003035AC" w:rsidRPr="003035AC" w:rsidRDefault="003035AC" w:rsidP="003035AC">
            <w:r w:rsidRPr="003035AC">
              <w:t>166.6667</w:t>
            </w:r>
          </w:p>
        </w:tc>
      </w:tr>
    </w:tbl>
    <w:p w:rsidR="003035AC" w:rsidRDefault="003035AC" w:rsidP="003035AC"/>
    <w:p w:rsidR="003035AC" w:rsidRDefault="003D5255" w:rsidP="003035AC">
      <w:pPr>
        <w:pStyle w:val="ListParagraph"/>
        <w:numPr>
          <w:ilvl w:val="1"/>
          <w:numId w:val="1"/>
        </w:numPr>
      </w:pPr>
      <w:r>
        <w:t xml:space="preserve">The p-value is far less from 0.1 significance, so we reject the hypothesis and believe the probability is </w:t>
      </w:r>
      <w:r w:rsidR="003035AC">
        <w:t>not</w:t>
      </w:r>
      <w:r>
        <w:t xml:space="preserve"> 1/6 for each number. The die is replaced.</w:t>
      </w:r>
    </w:p>
    <w:p w:rsidR="003D5255" w:rsidRDefault="003D5255" w:rsidP="003D5255">
      <w:pPr>
        <w:pStyle w:val="ListParagraph"/>
        <w:numPr>
          <w:ilvl w:val="0"/>
          <w:numId w:val="1"/>
        </w:numPr>
      </w:pPr>
      <w:r>
        <w:t>Answers:</w:t>
      </w:r>
    </w:p>
    <w:p w:rsidR="003D5255" w:rsidRDefault="003D5255" w:rsidP="003D5255">
      <w:pPr>
        <w:pStyle w:val="ListParagraph"/>
        <w:numPr>
          <w:ilvl w:val="1"/>
          <w:numId w:val="1"/>
        </w:numPr>
      </w:pPr>
      <w:r>
        <w:t>The null hypothesis is that the percentage of different manufactured cars in 1990 is still the same today</w:t>
      </w:r>
      <w:r w:rsidR="003035AC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=0.36,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=0.26,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=0.21,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=0.09,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=0.08</m:t>
        </m:r>
      </m:oMath>
      <w:r w:rsidR="003035AC">
        <w:t>)</w:t>
      </w:r>
      <w:r>
        <w:t>. The alternative hypothesis s that today’s car brand percentage is different from that of 1990</w:t>
      </w:r>
      <m:oMath>
        <m:r>
          <w:rPr>
            <w:rFonts w:ascii="Cambria Math" w:hAnsi="Cambria Math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r>
          <w:rPr>
            <w:rFonts w:ascii="Cambria Math" w:hAnsi="Cambria Math"/>
          </w:rPr>
          <m:t>≠[0.36,0.26,0.21,0.09,0.08])</m:t>
        </m:r>
      </m:oMath>
      <w:r>
        <w:t>.</w:t>
      </w:r>
    </w:p>
    <w:p w:rsidR="003D5255" w:rsidRDefault="003D5255" w:rsidP="003D5255">
      <w:pPr>
        <w:pStyle w:val="ListParagraph"/>
        <w:numPr>
          <w:ilvl w:val="1"/>
          <w:numId w:val="1"/>
        </w:numPr>
      </w:pPr>
      <w:r>
        <w:t xml:space="preserve">The p-value is 0.026. At 0.05 significance, we reject the null hypothesis and believe </w:t>
      </w:r>
      <w:r>
        <w:t>today’s car brand percentage is different from that of 1990</w:t>
      </w:r>
      <w:r>
        <w:t xml:space="preserve">. At 0.01 significance, we cannot reject the null hypothesis and tend to accept that </w:t>
      </w:r>
      <w:r>
        <w:t xml:space="preserve">today’s car brand percentage is </w:t>
      </w:r>
      <w:r>
        <w:t xml:space="preserve">still the same as </w:t>
      </w:r>
      <w:r>
        <w:t>that of 1990</w:t>
      </w:r>
      <w:r>
        <w:t>.</w:t>
      </w:r>
    </w:p>
    <w:p w:rsidR="003D5255" w:rsidRDefault="003D5255" w:rsidP="003D5255">
      <w:pPr>
        <w:pStyle w:val="ListParagraph"/>
        <w:numPr>
          <w:ilvl w:val="0"/>
          <w:numId w:val="1"/>
        </w:numPr>
      </w:pPr>
      <w:r>
        <w:t xml:space="preserve">Answers: </w:t>
      </w:r>
    </w:p>
    <w:p w:rsidR="003D5255" w:rsidRDefault="003D5255" w:rsidP="003D5255">
      <w:pPr>
        <w:pStyle w:val="ListParagraph"/>
        <w:numPr>
          <w:ilvl w:val="1"/>
          <w:numId w:val="1"/>
        </w:numPr>
      </w:pPr>
      <w:r>
        <w:lastRenderedPageBreak/>
        <w:t>the expected number of females participating</w:t>
      </w:r>
      <w:r>
        <w:t xml:space="preserve"> in the health plan should be </w:t>
      </w:r>
      <m:oMath>
        <m:r>
          <w:rPr>
            <w:rFonts w:ascii="Cambria Math" w:hAnsi="Cambria Math"/>
          </w:rPr>
          <m:t>500×882÷1120=</m:t>
        </m:r>
      </m:oMath>
      <w:r w:rsidR="00073943">
        <w:t>393.75</w:t>
      </w:r>
    </w:p>
    <w:p w:rsidR="00073943" w:rsidRDefault="00073943" w:rsidP="003D5255">
      <w:pPr>
        <w:pStyle w:val="ListParagraph"/>
        <w:numPr>
          <w:ilvl w:val="1"/>
          <w:numId w:val="1"/>
        </w:numPr>
      </w:pPr>
      <w:r>
        <w:t>The table is as follow: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73"/>
        <w:gridCol w:w="2551"/>
        <w:gridCol w:w="2552"/>
      </w:tblGrid>
      <w:tr w:rsidR="00073943" w:rsidTr="00073943">
        <w:tc>
          <w:tcPr>
            <w:tcW w:w="2473" w:type="dxa"/>
          </w:tcPr>
          <w:p w:rsidR="00073943" w:rsidRDefault="00073943" w:rsidP="00073943">
            <w:pPr>
              <w:pStyle w:val="ListParagraph"/>
              <w:ind w:left="0"/>
              <w:rPr>
                <w:rFonts w:hint="eastAsia"/>
              </w:rPr>
            </w:pPr>
          </w:p>
        </w:tc>
        <w:tc>
          <w:tcPr>
            <w:tcW w:w="2551" w:type="dxa"/>
          </w:tcPr>
          <w:p w:rsidR="00073943" w:rsidRDefault="00073943" w:rsidP="00073943">
            <w:pPr>
              <w:pStyle w:val="ListParagraph"/>
              <w:ind w:left="0"/>
              <w:rPr>
                <w:rFonts w:hint="eastAsia"/>
              </w:rPr>
            </w:pPr>
            <w:r>
              <w:t>Participate</w:t>
            </w:r>
          </w:p>
        </w:tc>
        <w:tc>
          <w:tcPr>
            <w:tcW w:w="2552" w:type="dxa"/>
          </w:tcPr>
          <w:p w:rsidR="00073943" w:rsidRDefault="00073943" w:rsidP="00073943">
            <w:pPr>
              <w:pStyle w:val="ListParagraph"/>
              <w:ind w:left="0"/>
              <w:rPr>
                <w:rFonts w:hint="eastAsia"/>
              </w:rPr>
            </w:pPr>
            <w:r>
              <w:t>Not Participate</w:t>
            </w:r>
          </w:p>
        </w:tc>
      </w:tr>
      <w:tr w:rsidR="00073943" w:rsidTr="00073943">
        <w:tc>
          <w:tcPr>
            <w:tcW w:w="2473" w:type="dxa"/>
          </w:tcPr>
          <w:p w:rsidR="00073943" w:rsidRDefault="00073943" w:rsidP="00073943">
            <w:pPr>
              <w:pStyle w:val="ListParagraph"/>
              <w:ind w:left="0"/>
              <w:rPr>
                <w:rFonts w:hint="eastAsia"/>
              </w:rPr>
            </w:pPr>
            <w:r>
              <w:t>Male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73943" w:rsidRDefault="00073943" w:rsidP="000739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488.25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73943" w:rsidRDefault="00073943" w:rsidP="000739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131.75</w:t>
            </w:r>
          </w:p>
        </w:tc>
      </w:tr>
      <w:tr w:rsidR="00073943" w:rsidTr="00073943">
        <w:tc>
          <w:tcPr>
            <w:tcW w:w="2473" w:type="dxa"/>
          </w:tcPr>
          <w:p w:rsidR="00073943" w:rsidRDefault="00073943" w:rsidP="00073943">
            <w:pPr>
              <w:pStyle w:val="ListParagraph"/>
              <w:ind w:left="0"/>
              <w:rPr>
                <w:rFonts w:hint="eastAsia"/>
              </w:rPr>
            </w:pPr>
            <w:r>
              <w:t>Female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73943" w:rsidRDefault="00073943" w:rsidP="000739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393.75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073943" w:rsidRDefault="00073943" w:rsidP="0007394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106.25</w:t>
            </w:r>
          </w:p>
        </w:tc>
      </w:tr>
    </w:tbl>
    <w:p w:rsidR="00073943" w:rsidRDefault="00073943" w:rsidP="00073943">
      <w:pPr>
        <w:pStyle w:val="ListParagraph"/>
        <w:numPr>
          <w:ilvl w:val="1"/>
          <w:numId w:val="1"/>
        </w:numPr>
      </w:pPr>
      <w:r>
        <w:t xml:space="preserve">The p-value is approximately 0.0005, far less that 0.05 significance, thus we believe that </w:t>
      </w:r>
      <w:r>
        <w:t xml:space="preserve">gender </w:t>
      </w:r>
      <w:r>
        <w:t xml:space="preserve">has some relationship with </w:t>
      </w:r>
      <w:r>
        <w:t>health plan</w:t>
      </w:r>
      <w:r>
        <w:t xml:space="preserve"> participation.</w:t>
      </w:r>
    </w:p>
    <w:p w:rsidR="00073943" w:rsidRPr="004E6656" w:rsidRDefault="00073943" w:rsidP="00073943">
      <w:pPr>
        <w:pStyle w:val="ListParagraph"/>
        <w:numPr>
          <w:ilvl w:val="0"/>
          <w:numId w:val="1"/>
        </w:numPr>
        <w:rPr>
          <w:rFonts w:hint="eastAsia"/>
        </w:rPr>
      </w:pPr>
      <w:r>
        <w:t>The p-value is 0.147, which is minimum of significance when chi-square statistic is in rejection zone. The significance should be 0.147 or larger.</w:t>
      </w:r>
    </w:p>
    <w:sectPr w:rsidR="00073943" w:rsidRPr="004E6656" w:rsidSect="00EE5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B20B1"/>
    <w:multiLevelType w:val="hybridMultilevel"/>
    <w:tmpl w:val="0EE6F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56"/>
    <w:rsid w:val="00073943"/>
    <w:rsid w:val="003035AC"/>
    <w:rsid w:val="003D5255"/>
    <w:rsid w:val="004E6656"/>
    <w:rsid w:val="005C2051"/>
    <w:rsid w:val="00EE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BA0E"/>
  <w15:chartTrackingRefBased/>
  <w15:docId w15:val="{F04F021A-BAD6-47C8-A5DB-A156C4F5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6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6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E66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E66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E6656"/>
    <w:rPr>
      <w:color w:val="808080"/>
    </w:rPr>
  </w:style>
  <w:style w:type="table" w:styleId="TableGrid">
    <w:name w:val="Table Grid"/>
    <w:basedOn w:val="TableNormal"/>
    <w:uiPriority w:val="39"/>
    <w:rsid w:val="00073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ankaayaliu@gmail.com</dc:creator>
  <cp:keywords/>
  <dc:description/>
  <cp:lastModifiedBy>ankaayaliu@gmail.com</cp:lastModifiedBy>
  <cp:revision>2</cp:revision>
  <dcterms:created xsi:type="dcterms:W3CDTF">2019-11-04T23:19:00Z</dcterms:created>
  <dcterms:modified xsi:type="dcterms:W3CDTF">2019-11-05T07:40:00Z</dcterms:modified>
</cp:coreProperties>
</file>