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C4" w:rsidRDefault="009E77C4" w:rsidP="00A03358">
      <w:pPr>
        <w:spacing w:after="0" w:line="240" w:lineRule="auto"/>
      </w:pPr>
    </w:p>
    <w:p w:rsidR="00A03358" w:rsidRPr="00A03358" w:rsidRDefault="00A03358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>TO:</w:t>
      </w:r>
      <w:r w:rsidRPr="00A0335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ab/>
      </w:r>
      <w:r w:rsidRPr="00A0335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ab/>
        <w:t>Professor Colman</w:t>
      </w:r>
    </w:p>
    <w:p w:rsidR="00A03358" w:rsidRPr="00A03358" w:rsidRDefault="00A03358" w:rsidP="00A0335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:rsidR="00A03358" w:rsidRPr="00A03358" w:rsidRDefault="00A03358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>FROM:</w:t>
      </w: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ab/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Chengjun Liu</w:t>
      </w:r>
    </w:p>
    <w:p w:rsidR="00A03358" w:rsidRPr="00A03358" w:rsidRDefault="00A03358" w:rsidP="00A0335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:rsidR="00A03358" w:rsidRPr="00A03358" w:rsidRDefault="00A03358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>DATE:</w:t>
      </w:r>
      <w:r w:rsidRPr="00A0335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ab/>
        <w:t>September 11, 2019</w:t>
      </w:r>
    </w:p>
    <w:p w:rsidR="00A03358" w:rsidRPr="00A03358" w:rsidRDefault="00A03358" w:rsidP="00A0335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:rsidR="00A03358" w:rsidRDefault="00A03358" w:rsidP="00FC2143">
      <w:pPr>
        <w:pBdr>
          <w:bottom w:val="single" w:sz="6" w:space="1" w:color="auto"/>
        </w:pBd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>SUBJECT:</w:t>
      </w:r>
      <w:r w:rsidRPr="00A0335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ab/>
        <w:t>Interpreting the Results of the Self-Assessment (CDP)</w:t>
      </w:r>
    </w:p>
    <w:p w:rsidR="006E073C" w:rsidRDefault="006E073C" w:rsidP="00FC2143">
      <w:pPr>
        <w:pBdr>
          <w:bottom w:val="single" w:sz="6" w:space="1" w:color="auto"/>
        </w:pBd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:rsidR="006B5341" w:rsidRDefault="006B5341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:rsidR="006E073C" w:rsidRDefault="006B5341" w:rsidP="00FC2143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</w:pPr>
      <w:r w:rsidRPr="006B5341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I</w:t>
      </w:r>
      <w:r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NTRODUCTION</w:t>
      </w:r>
    </w:p>
    <w:p w:rsidR="006E073C" w:rsidRDefault="006E073C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This memo builds up the </w:t>
      </w:r>
      <w:r w:rsidR="00557BA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Communication Development Plan of 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Chengjun Liu, Candidate of MSBA, USC</w:t>
      </w:r>
      <w:r w:rsidR="00557BA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. Based 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on</w:t>
      </w:r>
      <w:r w:rsidR="00557BA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the quantitative measurements of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Leadership Communication Assessment</w:t>
      </w:r>
      <w:r w:rsidR="00557BA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, the memo will analyze</w:t>
      </w:r>
      <w:r w:rsidR="00033A2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the candidate’s competence of leadership communication by categorizing and visualizing strengths and weaknesses with quantitative measurements and </w:t>
      </w:r>
      <w:r w:rsidR="00A9035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solid proofs. After the analysis, the memo will describe the candidate’s current situation of leadership roles</w:t>
      </w:r>
      <w:r w:rsidR="00BF27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, </w:t>
      </w:r>
      <w:r w:rsidR="00A9035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guide the candidate to specific goals by identifying and instructing</w:t>
      </w:r>
      <w:r w:rsidR="00BF27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on issues and suggest propriate working schedules.</w:t>
      </w:r>
    </w:p>
    <w:p w:rsidR="00BF2781" w:rsidRDefault="00BF2781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:rsidR="00BF2781" w:rsidRPr="00BF2781" w:rsidRDefault="00BF2781" w:rsidP="00FC2143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</w:pPr>
      <w:r w:rsidRPr="00BF2781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COMPETENCE ANALYSIS</w:t>
      </w:r>
    </w:p>
    <w:p w:rsidR="006B5341" w:rsidRDefault="00BF2781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We categorize numerous measurements into five indexes: </w:t>
      </w:r>
    </w:p>
    <w:p w:rsidR="006B5341" w:rsidRDefault="006B5341" w:rsidP="00BF27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4303257</wp:posOffset>
            </wp:positionH>
            <wp:positionV relativeFrom="paragraph">
              <wp:posOffset>10160</wp:posOffset>
            </wp:positionV>
            <wp:extent cx="3239549" cy="2910177"/>
            <wp:effectExtent l="0" t="0" r="18415" b="508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781" w:rsidRPr="00BF27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Oral Communication</w:t>
      </w:r>
      <w:r w:rsidR="006427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BF27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&amp;</w:t>
      </w:r>
      <w:r w:rsidR="006427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BF27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Strategy</w:t>
      </w:r>
      <w:r w:rsidR="00BF2781" w:rsidRPr="00BF27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: Oral Communication and Communication Strategies</w:t>
      </w:r>
    </w:p>
    <w:p w:rsidR="00BF2781" w:rsidRDefault="00BF2781" w:rsidP="00BF27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Written</w:t>
      </w:r>
      <w:r w:rsidR="006427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&amp;</w:t>
      </w:r>
      <w:r w:rsidR="006427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Visual Communication: Written Communication and Visual Communication</w:t>
      </w:r>
    </w:p>
    <w:p w:rsidR="00BF2781" w:rsidRDefault="006427B8" w:rsidP="00BF27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Emotional Intelligence: Emotional Intelligence and Ethos/Image</w:t>
      </w:r>
    </w:p>
    <w:p w:rsidR="006427B8" w:rsidRPr="00BF2781" w:rsidRDefault="006427B8" w:rsidP="00BF27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Organizational Communication:</w:t>
      </w:r>
      <w:bookmarkStart w:id="0" w:name="_GoBack"/>
      <w:bookmarkEnd w:id="0"/>
    </w:p>
    <w:p w:rsidR="00A03358" w:rsidRDefault="00A03358">
      <w:pPr>
        <w:rPr>
          <w:lang w:val="en-US"/>
        </w:rPr>
      </w:pPr>
    </w:p>
    <w:p w:rsidR="00BF2781" w:rsidRDefault="00BF2781">
      <w:pPr>
        <w:rPr>
          <w:lang w:val="en-US"/>
        </w:rPr>
      </w:pPr>
    </w:p>
    <w:p w:rsidR="00A03358" w:rsidRPr="00A03358" w:rsidRDefault="00A03358">
      <w:pPr>
        <w:rPr>
          <w:lang w:val="en-US"/>
        </w:rPr>
      </w:pPr>
    </w:p>
    <w:sectPr w:rsidR="00A03358" w:rsidRPr="00A0335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34F" w:rsidRDefault="003B534F" w:rsidP="00A03358">
      <w:pPr>
        <w:spacing w:after="0" w:line="240" w:lineRule="auto"/>
      </w:pPr>
      <w:r>
        <w:separator/>
      </w:r>
    </w:p>
  </w:endnote>
  <w:endnote w:type="continuationSeparator" w:id="0">
    <w:p w:rsidR="003B534F" w:rsidRDefault="003B534F" w:rsidP="00A0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34F" w:rsidRDefault="003B534F" w:rsidP="00A03358">
      <w:pPr>
        <w:spacing w:after="0" w:line="240" w:lineRule="auto"/>
      </w:pPr>
      <w:r>
        <w:separator/>
      </w:r>
    </w:p>
  </w:footnote>
  <w:footnote w:type="continuationSeparator" w:id="0">
    <w:p w:rsidR="003B534F" w:rsidRDefault="003B534F" w:rsidP="00A0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358" w:rsidRDefault="00A03358" w:rsidP="00A03358">
    <w:pPr>
      <w:pStyle w:val="Header"/>
      <w:jc w:val="center"/>
    </w:pPr>
    <w:r>
      <w:rPr>
        <w:noProof/>
      </w:rPr>
      <w:drawing>
        <wp:inline distT="0" distB="0" distL="0" distR="0" wp14:anchorId="0E9334D9">
          <wp:extent cx="1713230" cy="597535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4AF3"/>
    <w:multiLevelType w:val="hybridMultilevel"/>
    <w:tmpl w:val="2D8C97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58"/>
    <w:rsid w:val="00033A2D"/>
    <w:rsid w:val="001F5C45"/>
    <w:rsid w:val="00342B7A"/>
    <w:rsid w:val="003B534F"/>
    <w:rsid w:val="00557BA1"/>
    <w:rsid w:val="006427B8"/>
    <w:rsid w:val="006B5341"/>
    <w:rsid w:val="006E073C"/>
    <w:rsid w:val="00745396"/>
    <w:rsid w:val="009D7D89"/>
    <w:rsid w:val="009E77C4"/>
    <w:rsid w:val="00A03358"/>
    <w:rsid w:val="00A9035E"/>
    <w:rsid w:val="00BF2781"/>
    <w:rsid w:val="00C748BD"/>
    <w:rsid w:val="00E85E79"/>
    <w:rsid w:val="00FC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75FE0"/>
  <w15:chartTrackingRefBased/>
  <w15:docId w15:val="{6036857C-AFAA-440E-8819-21A1DC40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358"/>
  </w:style>
  <w:style w:type="paragraph" w:styleId="Footer">
    <w:name w:val="footer"/>
    <w:basedOn w:val="Normal"/>
    <w:link w:val="FooterChar"/>
    <w:uiPriority w:val="99"/>
    <w:unhideWhenUsed/>
    <w:rsid w:val="00A0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358"/>
  </w:style>
  <w:style w:type="paragraph" w:styleId="ListParagraph">
    <w:name w:val="List Paragraph"/>
    <w:basedOn w:val="Normal"/>
    <w:uiPriority w:val="34"/>
    <w:qFormat/>
    <w:rsid w:val="00BF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Oral Communication&amp;Strategy</c:v>
                </c:pt>
                <c:pt idx="1">
                  <c:v>Emotional Intelligence</c:v>
                </c:pt>
                <c:pt idx="2">
                  <c:v>Team Motivation</c:v>
                </c:pt>
                <c:pt idx="3">
                  <c:v>Organizational Communication</c:v>
                </c:pt>
                <c:pt idx="4">
                  <c:v>Written&amp;Visual Communication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06-472C-BAE1-347B17CA9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20120"/>
        <c:axId val="710920440"/>
      </c:radarChart>
      <c:catAx>
        <c:axId val="710920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LID4096"/>
          </a:p>
        </c:txPr>
        <c:crossAx val="710920440"/>
        <c:crosses val="autoZero"/>
        <c:auto val="1"/>
        <c:lblAlgn val="ctr"/>
        <c:lblOffset val="100"/>
        <c:noMultiLvlLbl val="0"/>
      </c:catAx>
      <c:valAx>
        <c:axId val="7109204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10920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88C09-037B-4496-B083-C3FD2B58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1</cp:revision>
  <dcterms:created xsi:type="dcterms:W3CDTF">2019-09-09T23:27:00Z</dcterms:created>
  <dcterms:modified xsi:type="dcterms:W3CDTF">2019-09-10T07:33:00Z</dcterms:modified>
</cp:coreProperties>
</file>