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rFonts w:ascii="Arial" w:cs="Arial" w:eastAsia="Arial" w:hAnsi="Arial"/>
          <w:b/>
          <w:bCs/>
          <w:color w:val="0F766E"/>
          <w:sz w:val="44"/>
          <w:szCs w:val="44"/>
        </w:rPr>
        <w:t xml:space="preserve">Dynamic Key Insights Measure</w:t>
      </w:r>
    </w:p>
    <w:p>
      <w:pPr>
        <w:spacing w:after="400"/>
        <w:jc w:val="center"/>
      </w:pPr>
      <w:r>
        <w:rPr>
          <w:rFonts w:ascii="Arial" w:cs="Arial" w:eastAsia="Arial" w:hAnsi="Arial"/>
          <w:i/>
          <w:iCs/>
          <w:color w:val="6B7280"/>
          <w:sz w:val="24"/>
          <w:szCs w:val="24"/>
        </w:rPr>
        <w:t xml:space="preserve">Page 3: AI-Powered Category Analysis Card</w:t>
      </w:r>
    </w:p>
    <w:p>
      <w:pPr>
        <w:spacing w:after="400"/>
      </w:pPr>
      <w:r>
        <w:rPr>
          <w:rFonts w:ascii="Arial" w:cs="Arial" w:eastAsia="Arial" w:hAnsi="Arial"/>
          <w:color w:val="374151"/>
          <w:sz w:val="22"/>
          <w:szCs w:val="22"/>
        </w:rPr>
        <w:t xml:space="preserve">This measure dynamically generates insights based on your category performance data. It analyzes margins, volumes, growth rates, and portfolio balance to provide contextual recommendations. Use this in an HTML Content visual on Page 3.</w:t>
      </w:r>
    </w:p>
    <w:p>
      <w:pPr>
        <w:pStyle w:val="Heading1"/>
      </w:pPr>
      <w:r>
        <w:t xml:space="preserve">Dynamic Insights Measure</w:t>
      </w:r>
    </w:p>
    <w:p>
      <w:pPr>
        <w:pStyle w:val="CodeBlock"/>
      </w:pPr>
      <w:r>
        <w:t xml:space="preserve">measure html_key_insights_page3 = 
// Get top categories by margin %
VAR TopMarginCategory = 
    TOPN(
        1,
        SUMMARIZE(
            DimProduct,
            DimProduct[Category],
            "AvgMargin", CALCULATE([margin_percent])
        ),
        [AvgMargin],
        DESC
    )
VAR TopMarginCategoryName = MAXX(TopMarginCategory, DimProduct[Category])
VAR TopMarginValue = MAXX(TopMarginCategory, [AvgMargin])
// Get second highest margin category
VAR SecondMarginCategory = 
    TOPN(
        1,
        FILTER(
            SUMMARIZE(
                DimProduct,
                DimProduct[Category],
                "AvgMargin", CALCULATE([margin_percent])
            ),
            DimProduct[Category] &lt;&gt; TopMarginCategoryName
        ),
        [AvgMargin],
        DESC
    )
VAR SecondMarginCategoryName = MAXX(SecondMarginCategory, DimProduct[Category])
VAR SecondMarginValue = MAXX(SecondMarginCategory, [AvgMargin])
// Get highest revenue category
VAR TopRevenueCategory = 
    TOPN(
        1,
        SUMMARIZE(
            DimProduct,
            DimProduct[Category],
            "Revenue", CALCULATE([total_revenue])
        ),
        [Revenue],
        DESC
    )
VAR TopRevenueCategoryName = MAXX(TopRevenueCategory, DimProduct[Category])
VAR TopRevenueValue = MAXX(TopRevenueCategory, [Revenue])
// Get total categories
VAR TotalCategories = DISTINCTCOUNT(DimProduct[Category])
// Calculate portfolio balance score (variance in margin % across categories)
VAR MarginVariance = 
    VAR AvgMargin = [margin_percent]
    VAR CategoryMargins = 
        ADDCOLUMNS(
            SUMMARIZE(DimProduct, DimProduct[Category]),
            "CategoryMargin", CALCULATE([margin_percent])
        )
    RETURN
        AVERAGEX(
            CategoryMargins,
            POWER([CategoryMargin] - AvgMargin, 2)
        )
VAR PortfolioBalance = 
    SWITCH(
        TRUE(),
        MarginVariance &lt; 0.002, "excellently balanced",
        MarginVariance &lt; 0.005, "well balanced",
        MarginVariance &lt; 0.01, "moderately balanced",
        "showing significant variation"
    )
// Calculate overall margin health
VAR OverallMargin = [margin_percent]
VAR MarginHealth = 
    SWITCH(
        TRUE(),
        OverallMargin &gt;= 0.30, "exceptional",
        OverallMargin &gt;= 0.28, "strong",
        OverallMargin &gt;= 0.25, "solid",
        OverallMargin &gt;= 0.20, "acceptable",
        "concerning"
    )
// Determine strategic focus
VAR HighMarginLowVolume = 
    IF(
        TopMarginCategoryName &lt;&gt; TopRevenueCategoryName,
        TRUE(),
        FALSE()
    )
VAR StrategicRecommendation = 
    IF(
        HighMarginLowVolume,
        "Focus on expanding " &amp; TopMarginCategoryName &amp; " category (" &amp; 
        FORMAT(TopMarginValue, "0.0%") &amp; " margin) while maintaining volume in " &amp; 
        TopRevenueCategoryName &amp; " products.",
        "Your highest-margin category (" &amp; TopMarginCategoryName &amp; ") is also your volume leader. " &amp;
        "Consider expanding this category further while developing adjacent high-margin opportunities."
    )
// Build dynamic insight text
VAR InsightText = 
    TopMarginCategoryName &amp; " and " &amp; SecondMarginCategoryName &amp; 
    " categories deliver the highest margins (" &amp; 
    FORMAT(TopMarginValue, "0.0%") &amp; " and " &amp; FORMAT(SecondMarginValue, "0.0%") &amp; 
    ") " &amp; 
    IF(
        TopMarginCategoryName = TopRevenueCategoryName,
        "and drive the most revenue. ",
        "despite " &amp; 
        IF(
            CALCULATE([total_revenue], DimProduct[Category] = TopMarginCategoryName) &lt; 
            TopRevenueValue * 0.5,
            "lower revenue contribution. ",
            "moderate revenue contribution. "
        )
    ) &amp;
    StrategicRecommendation &amp; " " &amp;
    "The portfolio is " &amp; PortfolioBalance &amp; " with " &amp; MarginHealth &amp; 
    " overall margin performance at " &amp; FORMAT(OverallMargin, "0.0%") &amp; ". " &amp;
    "&lt;strong&gt;Next:&lt;/strong&gt; Explore promotional effectiveness and brand performance on Page 4."
RETURN
"&lt;!DOCTYPE html&gt;
&lt;html&gt;
&lt;head&gt;
    &lt;style&gt;
        * { 
            box-sizing: border-box; 
            margin: 0; 
            padding: 0; 
        }
        body {
            font-family: 'Segoe UI', -apple-system, BlinkMacSystemFont, sans-serif;
            background: transparent;
            overflow: hidden;
        }
        .insight-card {
            background: linear-gradient(135deg, #F0FDFA 0%, #CCFBF1 100%);
            padding: 28px 32px;
            border-radius: 12px;
            border: 2px solid #14B8A6;
            box-shadow: 0 4px 12px rgba(0,0,0,0.08);
            position: relative;
            overflow: hidden;
        }
        .insight-card::before {
            content: '';
            position: absolute;
            top: 0;
            left: 0;
            width: 100%;
            height: 4px;
            background: linear-gradient(90deg, #0F766E 0%, #14B8A6 50%, #2DD4BF 100%);
        }
        .insight-header {
            display: flex;
            align-items: center;
            gap: 12px;
            margin-bottom: 16px;
        }
        .insight-icon {
            font-size: 36px;
            line-height: 1;
        }
        .insight-title {
            font-size: 18px;
            font-weight: 700;
            color: #0F766E;
            letter-spacing: -0.02em;
        }
        .insight-text {
            font-size: 14px;
            line-height: 1.7;
            color: #374151;
            font-weight: 450;
        }
        .insight-text strong {
            color: #0F766E;
            font-weight: 700;
        }
        .metrics-highlight {
            display: inline-block;
            background: white;
            padding: 2px 8px;
            border-radius: 4px;
            font-weight: 600;
            color: #0F766E;
            margin: 0 2px;
            box-shadow: 0 1px 3px rgba(0,0,0,0.1);
        }
        .category-badge {
            display: inline-block;
            background: #0F766E;
            color: white;
            padding: 3px 10px;
            border-radius: 12px;
            font-size: 12px;
            font-weight: 600;
            margin: 0 3px;
            text-transform: uppercase;
            letter-spacing: 0.03em;
        }
        @keyframes fadeIn {
            from { opacity: 0; transform: translateY(10px); }
            to { opacity: 1; transform: translateY(0); }
        }
        .insight-card {
            animation: fadeIn 0.6s ease-out;
        }
    &lt;/style&gt;
&lt;/head&gt;
&lt;body&gt;
    &lt;div class='insight-card'&gt;
        &lt;div class='insight-header'&gt;
            &lt;div class='insight-icon'&gt;💡&lt;/div&gt;
            &lt;div class='insight-title'&gt;Key Strategic Insights&lt;/div&gt;
        &lt;/div&gt;
        &lt;p class='insight-text'&gt;" &amp; InsightText &amp; "&lt;/p&gt;
    &lt;/div&gt;
&lt;/body&gt;
&lt;/html&gt;"</w:t>
      </w:r>
    </w:p>
    <w:p>
      <w:pPr>
        <w:pStyle w:val="Heading1"/>
        <w:spacing w:before="600"/>
      </w:pPr>
      <w:r>
        <w:t xml:space="preserve">Alternative: Enhanced Version with Badges</w:t>
      </w:r>
    </w:p>
    <w:p>
      <w:pPr>
        <w:spacing w:after="200"/>
      </w:pPr>
      <w:r>
        <w:rPr>
          <w:rFonts w:ascii="Arial" w:cs="Arial" w:eastAsia="Arial" w:hAnsi="Arial"/>
          <w:color w:val="374151"/>
          <w:sz w:val="22"/>
          <w:szCs w:val="22"/>
        </w:rPr>
        <w:t xml:space="preserve">This version adds visual badges for categories and metrics to make the insights more scannable:</w:t>
      </w:r>
    </w:p>
    <w:p>
      <w:pPr>
        <w:pStyle w:val="CodeBlock"/>
      </w:pPr>
      <w:r>
        <w:t xml:space="preserve">measure html_key_insights_page3_enhanced = 
// [Same VAR declarations as above - TopMarginCategory, SecondMarginCategory, etc.]
VAR TopMarginCategory = 
    TOPN(1, SUMMARIZE(DimProduct, DimProduct[Category], "AvgMargin", CALCULATE([margin_percent])), [AvgMargin], DESC)
VAR TopMarginCategoryName = MAXX(TopMarginCategory, DimProduct[Category])
VAR TopMarginValue = MAXX(TopMarginCategory, [AvgMargin])
VAR SecondMarginCategory = 
    TOPN(1, FILTER(SUMMARIZE(DimProduct, DimProduct[Category], "AvgMargin", CALCULATE([margin_percent])), 
    DimProduct[Category] &lt;&gt; TopMarginCategoryName), [AvgMargin], DESC)
VAR SecondMarginCategoryName = MAXX(SecondMarginCategory, DimProduct[Category])
VAR SecondMarginValue = MAXX(SecondMarginCategory, [AvgMargin])
VAR TopRevenueCategory = 
    TOPN(1, SUMMARIZE(DimProduct, DimProduct[Category], "Revenue", CALCULATE([total_revenue])), [Revenue], DESC)
VAR TopRevenueCategoryName = MAXX(TopRevenueCategory, DimProduct[Category])
VAR TopRevenueValue = MAXX(TopRevenueCategory, [Revenue])
VAR OverallMargin = [margin_percent]
VAR MarginHealth = 
    SWITCH(TRUE(), OverallMargin &gt;= 0.30, "exceptional", OverallMargin &gt;= 0.28, "strong", 
    OverallMargin &gt;= 0.25, "solid", "acceptable")
// Enhanced insight with visual badges
VAR InsightTextEnhanced = 
    "&lt;span class='category-badge'&gt;" &amp; TopMarginCategoryName &amp; "&lt;/span&gt; and " &amp;
    "&lt;span class='category-badge'&gt;" &amp; SecondMarginCategoryName &amp; "&lt;/span&gt; " &amp;
    "categories deliver the highest margins " &amp;
    "&lt;span class='metrics-highlight'&gt;" &amp; FORMAT(TopMarginValue, "0.0%") &amp; "&lt;/span&gt; and " &amp;
    "&lt;span class='metrics-highlight'&gt;" &amp; FORMAT(SecondMarginValue, "0.0%") &amp; "&lt;/span&gt; " &amp;
    IF(
        TopMarginCategoryName = TopRevenueCategoryName,
        "while also driving the most revenue. Expand this winning category further. ",
        "despite lower revenue contribution. Focus on expanding these high-margin categories " &amp;
        "while maintaining volume in " &amp; 
        "&lt;span class='category-badge'&gt;" &amp; TopRevenueCategoryName &amp; "&lt;/span&gt; products. "
    ) &amp;
    "Overall margin performance is &lt;strong&gt;" &amp; MarginHealth &amp; "&lt;/strong&gt; at " &amp;
    "&lt;span class='metrics-highlight'&gt;" &amp; FORMAT(OverallMargin, "0.0%") &amp; "&lt;/span&gt;. " &amp;
    "&lt;strong&gt;Next:&lt;/strong&gt; Explore promotional effectiveness and brand performance on Page 4."
RETURN
"&lt;!DOCTYPE html&gt;
&lt;html&gt;
&lt;head&gt;
    &lt;style&gt;
        * { box-sizing: border-box; margin: 0; padding: 0; }
        body {
            font-family: 'Segoe UI', -apple-system, BlinkMacSystemFont, sans-serif;
            background: transparent;
            overflow: hidden;
        }
        .insight-card {
            background: linear-gradient(135deg, #F0FDFA 0%, #CCFBF1 100%);
            padding: 28px 32px;
            border-radius: 12px;
            border: 2px solid #14B8A6;
            box-shadow: 0 4px 12px rgba(0,0,0,0.08);
            position: relative;
            overflow: hidden;
        }
        .insight-card::before {
            content: '';
            position: absolute;
            top: 0;
            left: 0;
            width: 100%;
            height: 4px;
            background: linear-gradient(90deg, #0F766E 0%, #14B8A6 50%, #2DD4BF 100%);
        }
        .insight-header {
            display: flex;
            align-items: center;
            gap: 12px;
            margin-bottom: 16px;
        }
        .insight-icon {
            font-size: 36px;
            line-height: 1;
        }
        .insight-title {
            font-size: 18px;
            font-weight: 700;
            color: #0F766E;
            letter-spacing: -0.02em;
        }
        .insight-text {
            font-size: 14px;
            line-height: 1.7;
            color: #374151;
            font-weight: 450;
        }
        .insight-text strong {
            color: #0F766E;
            font-weight: 700;
        }
        .metrics-highlight {
            display: inline-block;
            background: white;
            padding: 2px 8px;
            border-radius: 4px;
            font-weight: 600;
            color: #0F766E;
            margin: 0 2px;
            box-shadow: 0 1px 3px rgba(0,0,0,0.1);
        }
        .category-badge {
            display: inline-block;
            background: #0F766E;
            color: white;
            padding: 3px 10px;
            border-radius: 12px;
            font-size: 12px;
            font-weight: 600;
            margin: 0 3px;
            text-transform: uppercase;
            letter-spacing: 0.03em;
        }
        @keyframes fadeIn {
            from { opacity: 0; transform: translateY(10px); }
            to { opacity: 1; transform: translateY(0); }
        }
        .insight-card {
            animation: fadeIn 0.6s ease-out;
        }
    &lt;/style&gt;
&lt;/head&gt;
&lt;body&gt;
    &lt;div class='insight-card'&gt;
        &lt;div class='insight-header'&gt;
            &lt;div class='insight-icon'&gt;💡&lt;/div&gt;
            &lt;div class='insight-title'&gt;Key Strategic Insights&lt;/div&gt;
        &lt;/div&gt;
        &lt;p class='insight-text'&gt;" &amp; InsightTextEnhanced &amp; "&lt;/p&gt;
    &lt;/div&gt;
&lt;/body&gt;
&lt;/html&gt;"</w:t>
      </w:r>
    </w:p>
    <w:p>
      <w:pPr>
        <w:pStyle w:val="Heading1"/>
        <w:spacing w:before="600"/>
      </w:pPr>
      <w:r>
        <w:t xml:space="preserve">Implementation Instructions</w:t>
      </w:r>
    </w:p>
    <w:p>
      <w:pPr>
        <w:pStyle w:val="Heading2"/>
      </w:pPr>
      <w:r>
        <w:t xml:space="preserve">Step 1: Create the Measure</w:t>
      </w:r>
    </w:p>
    <w:p>
      <w:pPr>
        <w:spacing w:before="120" w:after="60" left="720"/>
      </w:pPr>
      <w:r>
        <w:rPr>
          <w:rFonts w:ascii="Arial" w:cs="Arial" w:eastAsia="Arial" w:hAnsi="Arial"/>
          <w:sz w:val="22"/>
          <w:szCs w:val="22"/>
        </w:rPr>
        <w:t xml:space="preserve">1. Copy the measure code above</w:t>
      </w:r>
    </w:p>
    <w:p>
      <w:pPr>
        <w:spacing w:before="60" w:after="60" left="720"/>
      </w:pPr>
      <w:r>
        <w:rPr>
          <w:rFonts w:ascii="Arial" w:cs="Arial" w:eastAsia="Arial" w:hAnsi="Arial"/>
          <w:sz w:val="22"/>
          <w:szCs w:val="22"/>
        </w:rPr>
        <w:t xml:space="preserve">2. In Power BI Desktop, create a new measure</w:t>
      </w:r>
    </w:p>
    <w:p>
      <w:pPr>
        <w:spacing w:before="60" w:after="60" left="720"/>
      </w:pPr>
      <w:r>
        <w:rPr>
          <w:rFonts w:ascii="Arial" w:cs="Arial" w:eastAsia="Arial" w:hAnsi="Arial"/>
          <w:sz w:val="22"/>
          <w:szCs w:val="22"/>
        </w:rPr>
        <w:t xml:space="preserve">3. Paste the code and press Enter</w:t>
      </w:r>
    </w:p>
    <w:p>
      <w:pPr>
        <w:spacing w:before="60" w:after="300" left="720"/>
      </w:pPr>
      <w:r>
        <w:rPr>
          <w:rFonts w:ascii="Arial" w:cs="Arial" w:eastAsia="Arial" w:hAnsi="Arial"/>
          <w:sz w:val="22"/>
          <w:szCs w:val="22"/>
        </w:rPr>
        <w:t xml:space="preserve">4. Choose either the standard or enhanced version based on your preference</w:t>
      </w:r>
    </w:p>
    <w:p>
      <w:pPr>
        <w:pStyle w:val="Heading2"/>
      </w:pPr>
      <w:r>
        <w:t xml:space="preserve">Step 2: Add to Page 3</w:t>
      </w:r>
    </w:p>
    <w:p>
      <w:pPr>
        <w:spacing w:before="120" w:after="60" left="720"/>
      </w:pPr>
      <w:r>
        <w:rPr>
          <w:rFonts w:ascii="Arial" w:cs="Arial" w:eastAsia="Arial" w:hAnsi="Arial"/>
          <w:sz w:val="22"/>
          <w:szCs w:val="22"/>
        </w:rPr>
        <w:t xml:space="preserve">1. Go to Page 3 in your report</w:t>
      </w:r>
    </w:p>
    <w:p>
      <w:pPr>
        <w:spacing w:before="60" w:after="60" left="720"/>
      </w:pPr>
      <w:r>
        <w:rPr>
          <w:rFonts w:ascii="Arial" w:cs="Arial" w:eastAsia="Arial" w:hAnsi="Arial"/>
          <w:sz w:val="22"/>
          <w:szCs w:val="22"/>
        </w:rPr>
        <w:t xml:space="preserve">2. Insert an HTML Content visual</w:t>
      </w:r>
    </w:p>
    <w:p>
      <w:pPr>
        <w:spacing w:before="60" w:after="60" left="720"/>
      </w:pPr>
      <w:r>
        <w:rPr>
          <w:rFonts w:ascii="Arial" w:cs="Arial" w:eastAsia="Arial" w:hAnsi="Arial"/>
          <w:sz w:val="22"/>
          <w:szCs w:val="22"/>
        </w:rPr>
        <w:t xml:space="preserve">3. Drag the measure to the Values field</w:t>
      </w:r>
    </w:p>
    <w:p>
      <w:pPr>
        <w:spacing w:before="60" w:after="60" left="720"/>
      </w:pPr>
      <w:r>
        <w:rPr>
          <w:rFonts w:ascii="Arial" w:cs="Arial" w:eastAsia="Arial" w:hAnsi="Arial"/>
          <w:sz w:val="22"/>
          <w:szCs w:val="22"/>
        </w:rPr>
        <w:t xml:space="preserve">4. Position at the bottom of the page (full width)</w:t>
      </w:r>
    </w:p>
    <w:p>
      <w:pPr>
        <w:spacing w:before="60" w:after="300" left="720"/>
      </w:pPr>
      <w:r>
        <w:rPr>
          <w:rFonts w:ascii="Arial" w:cs="Arial" w:eastAsia="Arial" w:hAnsi="Arial"/>
          <w:sz w:val="22"/>
          <w:szCs w:val="22"/>
        </w:rPr>
        <w:t xml:space="preserve">5. Resize to approximately 100% width × 120px height</w:t>
      </w:r>
    </w:p>
    <w:p>
      <w:pPr>
        <w:pStyle w:val="Heading2"/>
      </w:pPr>
      <w:r>
        <w:t xml:space="preserve">What Makes It Dynamic</w:t>
      </w:r>
    </w:p>
    <w:p>
      <w:pPr>
        <w:spacing w:before="120" w:after="60" left="720"/>
      </w:pPr>
      <w:r>
        <w:rPr>
          <w:rFonts w:ascii="Arial" w:cs="Arial" w:eastAsia="Arial" w:hAnsi="Arial"/>
          <w:sz w:val="22"/>
          <w:szCs w:val="22"/>
        </w:rPr>
        <w:t xml:space="preserve">✓ Automatically identifies top-performing categories by margin</w:t>
      </w:r>
    </w:p>
    <w:p>
      <w:pPr>
        <w:spacing w:before="60" w:after="60" left="720"/>
      </w:pPr>
      <w:r>
        <w:rPr>
          <w:rFonts w:ascii="Arial" w:cs="Arial" w:eastAsia="Arial" w:hAnsi="Arial"/>
          <w:sz w:val="22"/>
          <w:szCs w:val="22"/>
        </w:rPr>
        <w:t xml:space="preserve">✓ Compares margin leaders vs. revenue leaders</w:t>
      </w:r>
    </w:p>
    <w:p>
      <w:pPr>
        <w:spacing w:before="60" w:after="60" left="720"/>
      </w:pPr>
      <w:r>
        <w:rPr>
          <w:rFonts w:ascii="Arial" w:cs="Arial" w:eastAsia="Arial" w:hAnsi="Arial"/>
          <w:sz w:val="22"/>
          <w:szCs w:val="22"/>
        </w:rPr>
        <w:t xml:space="preserve">✓ Provides strategic recommendations based on portfolio balance</w:t>
      </w:r>
    </w:p>
    <w:p>
      <w:pPr>
        <w:spacing w:before="60" w:after="60" left="720"/>
      </w:pPr>
      <w:r>
        <w:rPr>
          <w:rFonts w:ascii="Arial" w:cs="Arial" w:eastAsia="Arial" w:hAnsi="Arial"/>
          <w:sz w:val="22"/>
          <w:szCs w:val="22"/>
        </w:rPr>
        <w:t xml:space="preserve">✓ Adapts to filter context (country, year, pharmacy type)</w:t>
      </w:r>
    </w:p>
    <w:p>
      <w:pPr>
        <w:spacing w:before="60" w:after="60" left="720"/>
      </w:pPr>
      <w:r>
        <w:rPr>
          <w:rFonts w:ascii="Arial" w:cs="Arial" w:eastAsia="Arial" w:hAnsi="Arial"/>
          <w:sz w:val="22"/>
          <w:szCs w:val="22"/>
        </w:rPr>
        <w:t xml:space="preserve">✓ Updates in real-time as data changes</w:t>
      </w:r>
    </w:p>
    <w:p>
      <w:pPr>
        <w:spacing w:before="60" w:after="60" left="720"/>
      </w:pPr>
      <w:r>
        <w:rPr>
          <w:rFonts w:ascii="Arial" w:cs="Arial" w:eastAsia="Arial" w:hAnsi="Arial"/>
          <w:sz w:val="22"/>
          <w:szCs w:val="22"/>
        </w:rPr>
        <w:t xml:space="preserve">✓ Includes performance assessment (exceptional, strong, solid, etc.)</w:t>
      </w:r>
    </w:p>
    <w:p>
      <w:pPr>
        <w:spacing w:before="800" w:after="200"/>
        <w:jc w:val="center"/>
      </w:pPr>
      <w:r>
        <w:rPr>
          <w:rFonts w:ascii="Arial" w:cs="Arial" w:eastAsia="Arial" w:hAnsi="Arial"/>
          <w:i/>
          <w:iCs/>
          <w:color w:val="6B7280"/>
          <w:sz w:val="24"/>
          <w:szCs w:val="24"/>
        </w:rPr>
        <w:t xml:space="preserve">— Dynamic Insights Ready —</w:t>
      </w:r>
    </w:p>
    <w:p>
      <w:pPr>
        <w:jc w:val="center"/>
      </w:pPr>
      <w:r>
        <w:rPr>
          <w:rFonts w:ascii="Arial" w:cs="Arial" w:eastAsia="Arial" w:hAnsi="Arial"/>
          <w:color w:val="9CA3AF"/>
          <w:sz w:val="18"/>
          <w:szCs w:val="18"/>
        </w:rPr>
        <w:t xml:space="preserve">Pharmacy Analytics • Onyx Data Challenge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0F766E"/>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0F766E"/>
      <w:sz w:val="28"/>
      <w:szCs w:val="28"/>
    </w:rPr>
  </w:style>
  <w:style w:type="paragraph" w:styleId="CodeBlock">
    <w:name w:val="Code Block"/>
    <w:basedOn w:val="Normal"/>
    <w:pPr>
      <w:spacing w:before="40" w:after="40"/>
    </w:pPr>
    <w:rPr>
      <w:rFonts w:ascii="Courier New" w:cs="Courier New" w:eastAsia="Courier New" w:hAnsi="Courier New"/>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2026-02-09T20:56:19.289Z</dcterms:created>
  <dcterms:modified xsi:type="dcterms:W3CDTF">2026-02-09T20:56:19.290Z</dcterms:modified>
</cp:coreProperties>
</file>

<file path=docProps/custom.xml><?xml version="1.0" encoding="utf-8"?>
<Properties xmlns="http://schemas.openxmlformats.org/officeDocument/2006/custom-properties" xmlns:vt="http://schemas.openxmlformats.org/officeDocument/2006/docPropsVTypes"/>
</file>