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0F766E"/>
          <w:sz w:val="44"/>
          <w:szCs w:val="44"/>
        </w:rPr>
        <w:t xml:space="preserve">Dynamic Strategic Recommendations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Page 4: HTML-Based DAX Measure • 1573x153px</w:t>
      </w:r>
    </w:p>
    <w:p>
      <w:pPr>
        <w:spacing w:after="4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measure generates 4 intelligent, context-aware strategic recommendations based on your actual promotional effectiveness, generic vs. branded performance, and category margins. Fits exactly within 1573×153px with transparent background.</w:t>
      </w:r>
    </w:p>
    <w:p>
      <w:pPr>
        <w:pStyle w:val="Heading1"/>
      </w:pPr>
      <w:r>
        <w:t xml:space="preserve">Strategic Recommendations Measure</w:t>
      </w:r>
    </w:p>
    <w:p>
      <w:pPr>
        <w:pStyle w:val="CodeBlock"/>
      </w:pPr>
      <w:r>
        <w:t xml:space="preserve">measure html_strategic_recommendations = 
// Analyze promotional effectiveness
VAR PromoMarginPercent = [promo_margin_percent]
VAR NonPromoMarginPercent = [non_promo_margin_percent]
VAR MarginImpact = NonPromoMarginPercent - PromoMarginPercent
VAR PromoRevenuePercent = DIVIDE([promo_revenue], [total_revenue], 0)
VAR PromoRecommendation = 
    SWITCH(
        TRUE(),
        MarginImpact &gt;= 0.12,
        "Drastically reduce promotional frequency by 50%+. Current -" &amp; 
        FORMAT(MarginImpact * 100, "0.0") &amp; "pp margin erosion is unsustainable. " &amp;
        "Implement strict 22% minimum margin floor for all promotions.",
        MarginImpact &gt;= 0.09,
        "Cut promotional spend by 30%. Target only low-margin categories like Prescription. " &amp;
        "Current -" &amp; FORMAT(MarginImpact * 100, "0.0") &amp; "pp impact severely erodes profitability.",
        MarginImpact &gt;= 0.06,
        "Reduce blanket promotions. Use targeted offers for customer acquisition only. " &amp;
        "Set minimum margin threshold at 24% to limit further erosion.",
        "Monitor promotional ROI closely. Current impact of -" &amp; 
        FORMAT(MarginImpact * 100, "0.0") &amp; "pp is acceptable but track monthly."
    )
// Analyze generic vs branded
VAR GenericMargin = [generic_margin_percent]
VAR BrandedMargin = [branded_margin_percent]
VAR GenericProductCount = [generic_product_count]
VAR BrandedProductCount = [branded_product_count]
VAR GenericAdvantage = GenericMargin - BrandedMargin
VAR GenericRecommendation = 
    IF(
        GenericAdvantage &gt;= 0.05,
        "Generic products deliver " &amp; FORMAT(GenericAdvantage * 100, "+0.0") &amp; 
        "pp higher margins. Expand generic portfolio from " &amp; GenericProductCount &amp; 
        " to " &amp; ROUND(GenericProductCount * 1.4, 0) &amp; " SKUs (+40%). " &amp;
        "Focus on high-volume therapeutic areas: pain relief, cold/flu, vitamins.",
        "Generic margin advantage is only " &amp; FORMAT(GenericAdvantage * 100, "0.0") &amp; 
        "pp. Maintain current 15-20% generic mix. Focus on branded differentiation instead."
    )
// Analyze high-margin categories
VAR TopMarginCategory = 
    MAXX(
        TOPN(1, SUMMARIZE(DimProduct, DimProduct[Category], "Margin", CALCULATE([margin_percent])), 
        [Margin], DESC),
        DimProduct[Category]
    )
VAR TopMarginValue = 
    MAXX(
        TOPN(1, SUMMARIZE(DimProduct, DimProduct[Category], "Margin", CALCULATE([margin_percent])), 
        [Margin], DESC),
        [Margin]
    )
VAR TopMarginRevenue = CALCULATE([total_revenue], DimProduct[Category] = TopMarginCategory)
VAR TotalRevenue = [total_revenue]
VAR TopMarginShare = DIVIDE(TopMarginRevenue, TotalRevenue, 0)
VAR PremiumRecommendation = 
    IF(
        TopMarginShare &lt; 0.25,
        TopMarginCategory &amp; " products show " &amp; FORMAT(TopMarginValue, "0.0%") &amp; 
        " margins but only " &amp; FORMAT(TopMarginShare, "0.0%") &amp; " revenue share. " &amp;
        "Cross-sell to prescription customers. Target 30%+ revenue mix within 12 months.",
        TopMarginCategory &amp; " at " &amp; FORMAT(TopMarginValue, "0.0%") &amp; 
        " margin already represents " &amp; FORMAT(TopMarginShare, "0.0%") &amp; " of revenue. " &amp;
        "Maintain focus while developing next high-margin category."
    )
// Promotional efficiency metrics
VAR AvgPromoDiscount = 
    IF(
        MarginImpact &gt; 0,
        DIVIDE(MarginImpact, PromoRevenuePercent, 0),
        0
    )
VAR EfficiencyRecommendation = 
    IF(
        MarginImpact &gt;= 0.08,
        "Track ROI for every promotion. Require business case showing volume lift &gt;25% to justify margin sacrifice. " &amp;
        "Sunset promotions with &lt;15% incremental volume. Review quarterly.",
        "Current promotional efficiency is acceptable. Continue monthly tracking of: " &amp;
        "margin impact by category, customer acquisition cost, repeat purchase rate."
    )
// Build HTML with 4 cards
RETURN
"&lt;!DOCTYPE html&gt;
&lt;html&gt;
&lt;head&gt;
    &lt;style&gt;
        * { 
            box-sizing: border-box; 
            margin: 0; 
            padding: 0; 
        }
        body {
            font-family: 'Segoe UI', -apple-system, BlinkMacSystemFont, sans-serif;
            background: transparent;
            overflow: hidden;
            width: 1573px;
            height: 153px;
        }
        .recommendations-container {
            width: 100%;
            height: 100%;
            background: linear-gradient(135deg, #DBEAFE 0%, #BFDBFE 100%);
            padding: 16px 20px;
            border-radius: 12px;
            border: 3px solid #3B82F6;
            box-shadow: 0 4px 16px rgba(0,0,0,0.1);
        }
        .header {
            display: flex;
            align-items: center;
            gap: 10px;
            margin-bottom: 12px;
        }
        .icon {
            font-size: 28px;
            line-height: 1;
        }
        .title {
            font-size: 16px;
            font-weight: 700;
            color: #1E40AF;
            letter-spacing: -0.02em;
        }
        .cards-grid {
            display: grid;
            grid-template-columns: repeat(4, 1fr);
            gap: 12px;
            height: calc(100% - 50px);
        }
        .rec-card {
            background: white;
            padding: 12px 14px;
            border-radius: 8px;
            border-left: 4px solid #3B82F6;
            display: flex;
            flex-direction: column;
            box-shadow: 0 2px 6px rgba(0,0,0,0.08);
        }
        .rec-title {
            font-size: 11px;
            font-weight: 700;
            color: #1E40AF;
            margin-bottom: 6px;
            text-transform: uppercase;
            letter-spacing: 0.03em;
        }
        .rec-text {
            font-size: 10px;
            color: #475569;
            line-height: 1.4;
            font-weight: 450;
            overflow: hidden;
            text-overflow: ellipsis;
        }
        .rec-card:nth-child(1) { border-left-color: #DC2626; }
        .rec-card:nth-child(1) .rec-title { color: #DC2626; }
        .rec-card:nth-child(2) { border-left-color: #0F766E; }
        .rec-card:nth-child(2) .rec-title { color: #0F766E; }
        .rec-card:nth-child(3) { border-left-color: #F59E0B; }
        .rec-card:nth-child(3) .rec-title { color: #F59E0B; }
        .rec-card:nth-child(4) { border-left-color: #3B82F6; }
        .rec-card:nth-child(4) .rec-title { color: #3B82F6; }
        @keyframes slideIn {
            from { opacity: 0; transform: translateY(10px); }
            to { opacity: 1; transform: translateY(0); }
        }
        .rec-card {
            animation: slideIn 0.6s ease-out forwards;
        }
        .rec-card:nth-child(1) { animation-delay: 0.1s; opacity: 0; }
        .rec-card:nth-child(2) { animation-delay: 0.2s; opacity: 0; }
        .rec-card:nth-child(3) { animation-delay: 0.3s; opacity: 0; }
        .rec-card:nth-child(4) { animation-delay: 0.4s; opacity: 0; }
    &lt;/style&gt;
&lt;/head&gt;
&lt;body&gt;
    &lt;div class='recommendations-container'&gt;
        &lt;div class='header'&gt;
            &lt;div class='icon'&gt;🎯&lt;/div&gt;
            &lt;div class='title'&gt;Strategic Recommendations&lt;/div&gt;
        &lt;/div&gt;
        &lt;div class='cards-grid'&gt;
            &lt;div class='rec-card'&gt;
                &lt;div class='rec-title'&gt;Optimize Promotions&lt;/div&gt;
                &lt;div class='rec-text'&gt;" &amp; PromoRecommendation &amp; "&lt;/div&gt;
            &lt;/div&gt;
            &lt;div class='rec-card'&gt;
                &lt;div class='rec-title'&gt;Expand Generic Portfolio&lt;/div&gt;
                &lt;div class='rec-text'&gt;" &amp; GenericRecommendation &amp; "&lt;/div&gt;
            &lt;/div&gt;
            &lt;div class='rec-card'&gt;
                &lt;div class='rec-title'&gt;Premium Product Focus&lt;/div&gt;
                &lt;div class='rec-text'&gt;" &amp; PremiumRecommendation &amp; "&lt;/div&gt;
            &lt;/div&gt;
            &lt;div class='rec-card'&gt;
                &lt;div class='rec-title'&gt;Promotional Efficiency&lt;/div&gt;
                &lt;div class='rec-text'&gt;" &amp; EfficiencyRecommendation &amp; "&lt;/div&gt;
            &lt;/div&gt;
        &lt;/div&gt;
    &lt;/div&gt;
&lt;/body&gt;
&lt;/html&gt;"</w:t>
      </w:r>
    </w:p>
    <w:p>
      <w:pPr>
        <w:pStyle w:val="Heading1"/>
        <w:spacing w:before="600"/>
      </w:pPr>
      <w:r>
        <w:t xml:space="preserve">Implementation Instructions</w:t>
      </w:r>
    </w:p>
    <w:p>
      <w:pPr>
        <w:spacing w:before="120" w:after="60" left="720"/>
      </w:pPr>
      <w:r>
        <w:rPr>
          <w:rFonts w:ascii="Arial" w:cs="Arial" w:eastAsia="Arial" w:hAnsi="Arial"/>
          <w:sz w:val="22"/>
          <w:szCs w:val="22"/>
        </w:rPr>
        <w:t xml:space="preserve">1. Copy the measure code above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2. Create new measure in Power BI Desktop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3. On Page 4, insert HTML Content visual at bottom of page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4. Drag html_strategic_recommendations to Values field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5. Resize visual to EXACTLY 1573px width × 153px height</w:t>
      </w:r>
    </w:p>
    <w:p>
      <w:pPr>
        <w:spacing w:before="60" w:after="60" 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CRITICAL: Format visual &gt; Visual border &gt; OFF</w:t>
      </w:r>
    </w:p>
    <w:p>
      <w:pPr>
        <w:spacing w:before="60" w:after="60" 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CRITICAL: Format visual &gt; Effects &gt; Background &gt; Transparency 100%</w:t>
      </w:r>
    </w:p>
    <w:p>
      <w:pPr>
        <w:spacing w:before="60" w:after="300" left="720"/>
      </w:pPr>
      <w:r>
        <w:rPr>
          <w:rFonts w:ascii="Arial" w:cs="Arial" w:eastAsia="Arial" w:hAnsi="Arial"/>
          <w:sz w:val="22"/>
          <w:szCs w:val="22"/>
        </w:rPr>
        <w:t xml:space="preserve">8. Remove visual title (Format &gt; General &gt; Title &gt; OFF)</w:t>
      </w:r>
    </w:p>
    <w:p>
      <w:pPr>
        <w:pStyle w:val="Heading1"/>
        <w:spacing w:before="400"/>
      </w:pPr>
      <w:r>
        <w:t xml:space="preserve">Dynamic Intelligence Features</w:t>
      </w:r>
    </w:p>
    <w:p>
      <w:pPr>
        <w:spacing w:before="120" w:after="60" left="7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Card 1 - Optimize Promotions:</w:t>
      </w:r>
    </w:p>
    <w:p>
      <w:pPr>
        <w:spacing w:before="60" w:after="60" left="1080"/>
      </w:pPr>
      <w:r>
        <w:rPr>
          <w:rFonts w:ascii="Arial" w:cs="Arial" w:eastAsia="Arial" w:hAnsi="Arial"/>
          <w:sz w:val="20"/>
          <w:szCs w:val="20"/>
        </w:rPr>
        <w:t xml:space="preserve">• Analyzes actual margin impact (-9.1pp, -12pp, etc.)</w:t>
      </w:r>
    </w:p>
    <w:p>
      <w:pPr>
        <w:spacing w:before="60" w:after="60" left="1080"/>
      </w:pPr>
      <w:r>
        <w:rPr>
          <w:rFonts w:ascii="Arial" w:cs="Arial" w:eastAsia="Arial" w:hAnsi="Arial"/>
          <w:sz w:val="20"/>
          <w:szCs w:val="20"/>
        </w:rPr>
        <w:t xml:space="preserve">• Severity-based recommendations (cut 50%, 30%, monitor, etc.)</w:t>
      </w:r>
    </w:p>
    <w:p>
      <w:pPr>
        <w:spacing w:before="60" w:after="300" left="1080"/>
      </w:pPr>
      <w:r>
        <w:rPr>
          <w:rFonts w:ascii="Arial" w:cs="Arial" w:eastAsia="Arial" w:hAnsi="Arial"/>
          <w:sz w:val="20"/>
          <w:szCs w:val="20"/>
        </w:rPr>
        <w:t xml:space="preserve">• Suggests specific margin floor thresholds (22%, 24%)</w:t>
      </w:r>
    </w:p>
    <w:p>
      <w:pPr>
        <w:spacing w:before="120" w:after="60" left="7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Card 2 - Expand Generic Portfolio:</w:t>
      </w:r>
    </w:p>
    <w:p>
      <w:pPr>
        <w:spacing w:before="60" w:after="60" left="1080"/>
      </w:pPr>
      <w:r>
        <w:rPr>
          <w:rFonts w:ascii="Arial" w:cs="Arial" w:eastAsia="Arial" w:hAnsi="Arial"/>
          <w:sz w:val="20"/>
          <w:szCs w:val="20"/>
        </w:rPr>
        <w:t xml:space="preserve">• Calculates exact margin advantage (e.g., +5.0pp)</w:t>
      </w:r>
    </w:p>
    <w:p>
      <w:pPr>
        <w:spacing w:before="60" w:after="60" left="1080"/>
      </w:pPr>
      <w:r>
        <w:rPr>
          <w:rFonts w:ascii="Arial" w:cs="Arial" w:eastAsia="Arial" w:hAnsi="Arial"/>
          <w:sz w:val="20"/>
          <w:szCs w:val="20"/>
        </w:rPr>
        <w:t xml:space="preserve">• Shows current vs. target SKU count (33 → 46 products)</w:t>
      </w:r>
    </w:p>
    <w:p>
      <w:pPr>
        <w:spacing w:before="60" w:after="300" left="1080"/>
      </w:pPr>
      <w:r>
        <w:rPr>
          <w:rFonts w:ascii="Arial" w:cs="Arial" w:eastAsia="Arial" w:hAnsi="Arial"/>
          <w:sz w:val="20"/>
          <w:szCs w:val="20"/>
        </w:rPr>
        <w:t xml:space="preserve">• Suggests focus areas (pain relief, cold/flu, vitamins)</w:t>
      </w:r>
    </w:p>
    <w:p>
      <w:pPr>
        <w:spacing w:before="120" w:after="60" left="72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Card 3 - Premium Product Focus:</w:t>
      </w:r>
    </w:p>
    <w:p>
      <w:pPr>
        <w:spacing w:before="60" w:after="60" left="1080"/>
      </w:pPr>
      <w:r>
        <w:rPr>
          <w:rFonts w:ascii="Arial" w:cs="Arial" w:eastAsia="Arial" w:hAnsi="Arial"/>
          <w:sz w:val="20"/>
          <w:szCs w:val="20"/>
        </w:rPr>
        <w:t xml:space="preserve">• Identifies highest-margin category (Wellness, Personal Care, etc.)</w:t>
      </w:r>
    </w:p>
    <w:p>
      <w:pPr>
        <w:spacing w:before="60" w:after="60" left="1080"/>
      </w:pPr>
      <w:r>
        <w:rPr>
          <w:rFonts w:ascii="Arial" w:cs="Arial" w:eastAsia="Arial" w:hAnsi="Arial"/>
          <w:sz w:val="20"/>
          <w:szCs w:val="20"/>
        </w:rPr>
        <w:t xml:space="preserve">• Shows margin % and current revenue share</w:t>
      </w:r>
    </w:p>
    <w:p>
      <w:pPr>
        <w:spacing w:before="60" w:after="300" left="1080"/>
      </w:pPr>
      <w:r>
        <w:rPr>
          <w:rFonts w:ascii="Arial" w:cs="Arial" w:eastAsia="Arial" w:hAnsi="Arial"/>
          <w:sz w:val="20"/>
          <w:szCs w:val="20"/>
        </w:rPr>
        <w:t xml:space="preserve">• Sets growth targets (30%+ revenue mix if currently low)</w:t>
      </w:r>
    </w:p>
    <w:p>
      <w:pPr>
        <w:spacing w:before="120" w:after="60" left="72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Card 4 - Promotional Efficiency:</w:t>
      </w:r>
    </w:p>
    <w:p>
      <w:pPr>
        <w:spacing w:before="60" w:after="60" left="1080"/>
      </w:pPr>
      <w:r>
        <w:rPr>
          <w:rFonts w:ascii="Arial" w:cs="Arial" w:eastAsia="Arial" w:hAnsi="Arial"/>
          <w:sz w:val="20"/>
          <w:szCs w:val="20"/>
        </w:rPr>
        <w:t xml:space="preserve">• Recommends ROI tracking requirements</w:t>
      </w:r>
    </w:p>
    <w:p>
      <w:pPr>
        <w:spacing w:before="60" w:after="60" left="1080"/>
      </w:pPr>
      <w:r>
        <w:rPr>
          <w:rFonts w:ascii="Arial" w:cs="Arial" w:eastAsia="Arial" w:hAnsi="Arial"/>
          <w:sz w:val="20"/>
          <w:szCs w:val="20"/>
        </w:rPr>
        <w:t xml:space="preserve">• Sets volume lift thresholds (&gt;25% incremental)</w:t>
      </w:r>
    </w:p>
    <w:p>
      <w:pPr>
        <w:spacing w:before="60" w:after="300" left="1080"/>
      </w:pPr>
      <w:r>
        <w:rPr>
          <w:rFonts w:ascii="Arial" w:cs="Arial" w:eastAsia="Arial" w:hAnsi="Arial"/>
          <w:sz w:val="20"/>
          <w:szCs w:val="20"/>
        </w:rPr>
        <w:t xml:space="preserve">• Suggests review cadence (quarterly vs. monthly)</w:t>
      </w:r>
    </w:p>
    <w:p>
      <w:pPr>
        <w:pStyle w:val="Heading1"/>
        <w:spacing w:before="400"/>
      </w:pPr>
      <w:r>
        <w:t xml:space="preserve">Visual Design Details</w:t>
      </w:r>
    </w:p>
    <w:p>
      <w:pPr>
        <w:spacing w:before="120" w:after="60" left="720"/>
      </w:pPr>
      <w:r>
        <w:rPr>
          <w:rFonts w:ascii="Arial" w:cs="Arial" w:eastAsia="Arial" w:hAnsi="Arial"/>
          <w:sz w:val="22"/>
          <w:szCs w:val="22"/>
        </w:rPr>
        <w:t xml:space="preserve">• Blue gradient background (#DBEAFE to #BFDBFE)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• 4 equal-width cards in horizontal grid (1fr each)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• Color-coded left borders: Red, Teal, Amber, Blue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• Staggered slide-in animation (0.1s, 0.2s, 0.3s, 0.4s)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• Font sizes optimized for 153px height (11px title, 10px body)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• Target icon (🎯) with title in header section</w:t>
      </w:r>
    </w:p>
    <w:p>
      <w:pPr>
        <w:spacing w:before="60" w:after="300" left="720"/>
      </w:pPr>
      <w:r>
        <w:rPr>
          <w:rFonts w:ascii="Arial" w:cs="Arial" w:eastAsia="Arial" w:hAnsi="Arial"/>
          <w:sz w:val="22"/>
          <w:szCs w:val="22"/>
        </w:rPr>
        <w:t xml:space="preserve">• Professional shadows and rounded corners for depth</w:t>
      </w:r>
    </w:p>
    <w:p>
      <w:pPr>
        <w:pStyle w:val="Heading1"/>
        <w:spacing w:before="400"/>
      </w:pPr>
      <w:r>
        <w:t xml:space="preserve">Example Output Scenarios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1: High Promotional Impact (-11.5pp)</w:t>
      </w:r>
    </w:p>
    <w:p>
      <w:pPr>
        <w:spacing w:before="60" w:after="60" left="720"/>
      </w:pPr>
      <w:r>
        <w:rPr>
          <w:rFonts w:ascii="Arial" w:cs="Arial" w:eastAsia="Arial" w:hAnsi="Arial"/>
          <w:sz w:val="20"/>
          <w:szCs w:val="20"/>
        </w:rPr>
        <w:t xml:space="preserve">Card 1: 'Drastically reduce promotional frequency by 50%+. Current -11.5pp margin erosion is unsustainable. Implement strict 22% minimum margin floor.'</w:t>
      </w:r>
    </w:p>
    <w:p>
      <w:pPr>
        <w:spacing w:before="60" w:after="300" left="720"/>
      </w:pPr>
      <w:r>
        <w:rPr>
          <w:rFonts w:ascii="Arial" w:cs="Arial" w:eastAsia="Arial" w:hAnsi="Arial"/>
          <w:sz w:val="20"/>
          <w:szCs w:val="20"/>
        </w:rPr>
        <w:t xml:space="preserve">Card 2: 'Generic products deliver +5.2pp higher margins. Expand generic portfolio from 33 to 46 SKUs (+40%). Focus on pain relief, cold/flu, vitamins.'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2: Moderate Impact (-6.8pp)</w:t>
      </w:r>
    </w:p>
    <w:p>
      <w:pPr>
        <w:spacing w:before="60" w:after="60" left="720"/>
      </w:pPr>
      <w:r>
        <w:rPr>
          <w:rFonts w:ascii="Arial" w:cs="Arial" w:eastAsia="Arial" w:hAnsi="Arial"/>
          <w:sz w:val="20"/>
          <w:szCs w:val="20"/>
        </w:rPr>
        <w:t xml:space="preserve">Card 1: 'Reduce blanket promotions. Use targeted offers for customer acquisition only. Set minimum margin threshold at 24%.'</w:t>
      </w:r>
    </w:p>
    <w:p>
      <w:pPr>
        <w:spacing w:before="60" w:after="300" left="720"/>
      </w:pPr>
      <w:r>
        <w:rPr>
          <w:rFonts w:ascii="Arial" w:cs="Arial" w:eastAsia="Arial" w:hAnsi="Arial"/>
          <w:sz w:val="20"/>
          <w:szCs w:val="20"/>
        </w:rPr>
        <w:t xml:space="preserve">Card 4: 'Current promotional efficiency is acceptable. Continue monthly tracking of margin impact by category, customer acquisition cost, repeat purchase rate.'</w:t>
      </w:r>
    </w:p>
    <w:p>
      <w:pPr>
        <w:spacing w:before="800" w:after="2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— Strategic Recommendations Ready —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Pharmacy Analytics • Onyx Data Challenge •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F766E"/>
      <w:sz w:val="36"/>
      <w:szCs w:val="36"/>
    </w:rPr>
  </w:style>
  <w:style w:type="paragraph" w:styleId="CodeBlock">
    <w:name w:val="Code Block"/>
    <w:basedOn w:val="Normal"/>
    <w:pPr>
      <w:spacing w:before="40" w:after="40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2026-02-10T14:54:52.666Z</dcterms:created>
  <dcterms:modified xsi:type="dcterms:W3CDTF">2026-02-10T14:54:52.667Z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