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80"/>
      </w:pPr>
      <w:r>
        <w:t xml:space="preserve"/>
      </w:r>
    </w:p>
    <w:p>
      <w:pPr>
        <w:spacing w:before="0" w:after="120"/>
        <w:jc w:val="center"/>
      </w:pPr>
      <w:r>
        <w:rPr>
          <w:rFonts w:ascii="Arial" w:cs="Arial" w:eastAsia="Arial" w:hAnsi="Arial"/>
          <w:i/>
          <w:iCs/>
          <w:color w:val="6B7280"/>
          <w:sz w:val="24"/>
          <w:szCs w:val="24"/>
        </w:rPr>
        <w:t xml:space="preserve">Technical Research Report</w:t>
      </w:r>
    </w:p>
    <w:p>
      <w:pPr>
        <w:spacing w:before="0" w:after="200"/>
        <w:jc w:val="center"/>
      </w:pPr>
      <w:r>
        <w:rPr>
          <w:rFonts w:ascii="Arial" w:cs="Arial" w:eastAsia="Arial" w:hAnsi="Arial"/>
          <w:b/>
          <w:bCs/>
          <w:color w:val="1A3A6B"/>
          <w:sz w:val="52"/>
          <w:szCs w:val="52"/>
        </w:rPr>
        <w:t xml:space="preserve">DCBA: Dual-Chain Blockchain Architecture</w:t>
      </w:r>
    </w:p>
    <w:p>
      <w:pPr>
        <w:spacing w:before="0" w:after="120"/>
        <w:jc w:val="center"/>
      </w:pPr>
      <w:r>
        <w:rPr>
          <w:rFonts w:ascii="Arial" w:cs="Arial" w:eastAsia="Arial" w:hAnsi="Arial"/>
          <w:color w:val="2E6DB4"/>
          <w:sz w:val="36"/>
          <w:szCs w:val="36"/>
        </w:rPr>
        <w:t xml:space="preserve">for Secure, Priority-Aware, UAV-Enabled Pharmaceutical Delivery</w:t>
      </w:r>
    </w:p>
    <w:p>
      <w:pPr>
        <w:spacing w:before="0" w:after="80"/>
      </w:pPr>
      <w:r>
        <w:t xml:space="preserve"/>
      </w:r>
    </w:p>
    <w:p>
      <w:pPr>
        <w:pBdr>
          <w:bottom w:val="single" w:color="2E6DB4" w:sz="3" w:space="4"/>
        </w:pBdr>
        <w:spacing w:before="0" w:after="60"/>
        <w:jc w:val="center"/>
      </w:pPr>
      <w:r>
        <w:t xml:space="preserve"/>
      </w:r>
    </w:p>
    <w:p>
      <w:pPr>
        <w:spacing w:before="0" w:after="80"/>
      </w:pPr>
      <w:r>
        <w:t xml:space="preserve"/>
      </w:r>
    </w:p>
    <w:p>
      <w:pPr>
        <w:spacing w:before="0" w:after="80"/>
        <w:jc w:val="center"/>
      </w:pPr>
      <w:r>
        <w:rPr>
          <w:rFonts w:ascii="Arial" w:cs="Arial" w:eastAsia="Arial" w:hAnsi="Arial"/>
          <w:color w:val="374151"/>
          <w:sz w:val="26"/>
          <w:szCs w:val="26"/>
        </w:rPr>
        <w:t xml:space="preserve">Department of Computer Science and Engineering</w:t>
      </w:r>
    </w:p>
    <w:p>
      <w:pPr>
        <w:spacing w:before="0" w:after="80"/>
        <w:jc w:val="center"/>
      </w:pPr>
      <w:r>
        <w:rPr>
          <w:rFonts w:ascii="Arial" w:cs="Arial" w:eastAsia="Arial" w:hAnsi="Arial"/>
          <w:color w:val="374151"/>
          <w:sz w:val="26"/>
          <w:szCs w:val="26"/>
        </w:rPr>
        <w:t xml:space="preserve">Bangladesh University of Engineering and Technology (BUET)</w:t>
      </w:r>
    </w:p>
    <w:p>
      <w:pPr>
        <w:spacing w:before="0" w:after="80"/>
      </w:pPr>
      <w:r>
        <w:t xml:space="preserve"/>
      </w:r>
    </w:p>
    <w:p>
      <w:pPr>
        <w:spacing w:before="0" w:after="80"/>
      </w:pPr>
      <w:r>
        <w:t xml:space="preserve"/>
      </w:r>
    </w:p>
    <w:p>
      <w:pPr>
        <w:spacing w:before="0" w:after="80"/>
        <w:jc w:val="center"/>
      </w:pPr>
      <w:r>
        <w:rPr>
          <w:rFonts w:ascii="Arial" w:cs="Arial" w:eastAsia="Arial" w:hAnsi="Arial"/>
          <w:i/>
          <w:iCs/>
          <w:color w:val="6B7280"/>
          <w:sz w:val="24"/>
          <w:szCs w:val="24"/>
        </w:rPr>
        <w:t xml:space="preserve">M.Sc. Research Project</w:t>
      </w:r>
    </w:p>
    <w:p>
      <w:pPr>
        <w:spacing w:before="0" w:after="80"/>
        <w:jc w:val="center"/>
      </w:pPr>
      <w:r>
        <w:rPr>
          <w:rFonts w:ascii="Arial" w:cs="Arial" w:eastAsia="Arial" w:hAnsi="Arial"/>
          <w:color w:val="6B7280"/>
          <w:sz w:val="24"/>
          <w:szCs w:val="24"/>
        </w:rPr>
        <w:t xml:space="preserve">2025 – 2026</w:t>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jc w:val="center"/>
      </w:pPr>
      <w:r>
        <w:rPr>
          <w:rFonts w:ascii="Arial" w:cs="Arial" w:eastAsia="Arial" w:hAnsi="Arial"/>
          <w:i/>
          <w:iCs/>
          <w:color w:val="6B7280"/>
          <w:sz w:val="22"/>
          <w:szCs w:val="22"/>
        </w:rPr>
        <w:t xml:space="preserve">Document Type: Project Documentation Log</w:t>
      </w:r>
    </w:p>
    <w:p>
      <w:pPr>
        <w:spacing w:before="0" w:after="80"/>
        <w:jc w:val="center"/>
      </w:pPr>
      <w:r>
        <w:rPr>
          <w:rFonts w:ascii="Arial" w:cs="Arial" w:eastAsia="Arial" w:hAnsi="Arial"/>
          <w:i/>
          <w:iCs/>
          <w:color w:val="6B7280"/>
          <w:sz w:val="22"/>
          <w:szCs w:val="22"/>
        </w:rPr>
        <w:t xml:space="preserve">Status: In Progress</w:t>
      </w:r>
    </w:p>
    <w:p>
      <w:pPr>
        <w:spacing w:before="0" w:after="80"/>
        <w:jc w:val="center"/>
      </w:pPr>
      <w:r>
        <w:rPr>
          <w:rFonts w:ascii="Arial" w:cs="Arial" w:eastAsia="Arial" w:hAnsi="Arial"/>
          <w:i/>
          <w:iCs/>
          <w:color w:val="6B7280"/>
          <w:sz w:val="22"/>
          <w:szCs w:val="22"/>
        </w:rPr>
        <w:t xml:space="preserve">Last Updated: March 2026</w:t>
      </w:r>
    </w:p>
    <w:p>
      <w:r>
        <w:br w:type="page"/>
      </w:r>
    </w:p>
    <w:p>
      <w:pPr>
        <w:pStyle w:val="Heading1"/>
        <w:pBdr>
          <w:bottom w:val="single" w:color="2E6DB4" w:sz="4" w:space="4"/>
        </w:pBdr>
        <w:spacing w:before="360" w:after="160"/>
      </w:pPr>
      <w:r>
        <w:rPr>
          <w:rFonts w:ascii="Arial" w:cs="Arial" w:eastAsia="Arial" w:hAnsi="Arial"/>
          <w:b/>
          <w:bCs/>
          <w:color w:val="1A3A6B"/>
          <w:sz w:val="32"/>
          <w:szCs w:val="32"/>
        </w:rPr>
        <w:t xml:space="preserve">Abstract</w:t>
      </w:r>
    </w:p>
    <w:p>
      <w:pPr>
        <w:spacing w:before="0" w:after="160"/>
        <w:jc w:val="both"/>
      </w:pPr>
      <w:r>
        <w:rPr>
          <w:rFonts w:ascii="Arial" w:cs="Arial" w:eastAsia="Arial" w:hAnsi="Arial"/>
          <w:b w:val="false"/>
          <w:bCs w:val="false"/>
          <w:i w:val="false"/>
          <w:iCs w:val="false"/>
          <w:color w:val="374151"/>
          <w:sz w:val="24"/>
          <w:szCs w:val="24"/>
        </w:rPr>
        <w:t xml:space="preserve">The pharmaceutical supply chain faces a persistent and escalating crisis: counterfeit, substandard, and diverted drugs cause an estimated 1 million deaths per year globally, with the World Health Organization (WHO) reporting that approximately 10% of medicines in low- and middle-income countries are substandard or falsified. Simultaneously, last-mile drug delivery — particularly for time-critical medications such as insulin, epinephrine, and cardiac drugs — remains inadequate in regions with poor road infrastructure, traffic congestion, or geographic isolation. Unmanned Aerial Vehicles (UAVs) offer a compelling solution to the last-mile problem, but their deployment without a secure, auditable identity and tracking framework introduces new attack surfaces and accountability gaps.</w:t>
      </w:r>
    </w:p>
    <w:p>
      <w:pPr>
        <w:spacing w:before="0" w:after="160"/>
        <w:jc w:val="both"/>
      </w:pPr>
      <w:r>
        <w:rPr>
          <w:rFonts w:ascii="Arial" w:cs="Arial" w:eastAsia="Arial" w:hAnsi="Arial"/>
          <w:b w:val="false"/>
          <w:bCs w:val="false"/>
          <w:i w:val="false"/>
          <w:iCs w:val="false"/>
          <w:color w:val="374151"/>
          <w:sz w:val="24"/>
          <w:szCs w:val="24"/>
        </w:rPr>
        <w:t xml:space="preserve">This report presents DCBA (Dual-Chain Blockchain Architecture), a novel system that integrates two purpose-specific blockchain networks — a Patient Data Chain (PDC) built on Ethereum Proof-of-Authority and a UAV Operational Chain (UOC) built on Hyperledger Fabric — to simultaneously address pharmaceutical supply chain integrity, patient data sovereignty, and priority-aware drone delivery logistics. The two chains communicate through SC-7, a cross-chain oracle bridge that provides replay-safe prescription verification with a measured latency of approximately 5.4 seconds.</w:t>
      </w:r>
    </w:p>
    <w:p>
      <w:pPr>
        <w:spacing w:before="0" w:after="160"/>
        <w:jc w:val="both"/>
      </w:pPr>
      <w:r>
        <w:rPr>
          <w:rFonts w:ascii="Arial" w:cs="Arial" w:eastAsia="Arial" w:hAnsi="Arial"/>
          <w:b w:val="false"/>
          <w:bCs w:val="false"/>
          <w:i w:val="false"/>
          <w:iCs w:val="false"/>
          <w:color w:val="374151"/>
          <w:sz w:val="24"/>
          <w:szCs w:val="24"/>
        </w:rPr>
        <w:t xml:space="preserve">DCBA introduces six original technical contributions absent from prior literature: (1) a dual-chain architecture specifically designed for the divergent trust and performance requirements of patient data versus UAV operations; (2) hardware-bound W3C Decentralised Identifiers (DIDs) for UAVs, tying device identity to physical MAC address via h = H(mac ‖ τs ‖ seed), making identity non-transferable and clone-resistant; (3) a two-phase Drone Capability Score (DCS) algorithm that selects the optimal UAV in under 140 milliseconds for a fleet of 100 drones using Bloom filter pre-screening and digital signature verification; (4) sanitizable signature-based medical records that preserve the Trusted Authority root signature integrity during Healthcare Provider amendments; (5) a Priority-Aware Routing System (PARS) with four clinically meaningful urgency tiers and on-chain SLA enforcement; and (6) patient-sovereign encryption where medical records are asymmetrically encrypted with the patient's public key, making the data mathematically inaccessible to any other party including the writing physician.</w:t>
      </w:r>
    </w:p>
    <w:p>
      <w:pPr>
        <w:spacing w:before="0" w:after="160"/>
        <w:jc w:val="both"/>
      </w:pPr>
      <w:r>
        <w:rPr>
          <w:rFonts w:ascii="Arial" w:cs="Arial" w:eastAsia="Arial" w:hAnsi="Arial"/>
          <w:b w:val="false"/>
          <w:bCs w:val="false"/>
          <w:i w:val="false"/>
          <w:iCs w:val="false"/>
          <w:color w:val="374151"/>
          <w:sz w:val="24"/>
          <w:szCs w:val="24"/>
        </w:rPr>
        <w:t xml:space="preserve">The system is governed by eight principal actors — Patient, Healthcare Provider, Drug Warehouse, Drone Station, UAV, Trusted Authority, Miner/Validator, and Regulatory Auditor — coordinated through seven Solidity smart contracts (SC-1 through SC-7). The architecture enforces zero-trust verification on every transaction, provides an immutable GPS-logged delivery trail, and maps directly to regulatory compliance requirements including those of the Directorate General of Drug Administration (DGDA) of Bangladesh.</w:t>
      </w:r>
    </w:p>
    <w:p>
      <w:pPr>
        <w:spacing w:before="0" w:after="160"/>
        <w:jc w:val="both"/>
      </w:pPr>
      <w:r>
        <w:rPr>
          <w:rFonts w:ascii="Arial" w:cs="Arial" w:eastAsia="Arial" w:hAnsi="Arial"/>
          <w:b w:val="false"/>
          <w:bCs w:val="false"/>
          <w:i w:val="false"/>
          <w:iCs w:val="false"/>
          <w:color w:val="374151"/>
          <w:sz w:val="24"/>
          <w:szCs w:val="24"/>
        </w:rPr>
        <w:t xml:space="preserve">This document serves as the primary technical documentation log for the DCBA M.Sc. research project, recording system design decisions, implementation plans, benchmarking methodology, and security analysis in a single authoritative reference.</w:t>
      </w:r>
    </w:p>
    <w:p>
      <w:r>
        <w:br w:type="page"/>
      </w:r>
    </w:p>
    <w:p>
      <w:pPr>
        <w:pStyle w:val="Heading1"/>
        <w:pBdr>
          <w:bottom w:val="single" w:color="2E6DB4" w:sz="4" w:space="4"/>
        </w:pBdr>
        <w:spacing w:before="360" w:after="160"/>
      </w:pPr>
      <w:r>
        <w:rPr>
          <w:rFonts w:ascii="Arial" w:cs="Arial" w:eastAsia="Arial" w:hAnsi="Arial"/>
          <w:b/>
          <w:bCs/>
          <w:color w:val="1A3A6B"/>
          <w:sz w:val="32"/>
          <w:szCs w:val="32"/>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2E6DB4" w:sz="4" w:space="4"/>
        </w:pBdr>
        <w:spacing w:before="360" w:after="160"/>
      </w:pPr>
      <w:r>
        <w:rPr>
          <w:rFonts w:ascii="Arial" w:cs="Arial" w:eastAsia="Arial" w:hAnsi="Arial"/>
          <w:b/>
          <w:bCs/>
          <w:color w:val="1A3A6B"/>
          <w:sz w:val="32"/>
          <w:szCs w:val="32"/>
        </w:rPr>
        <w:t xml:space="preserve">1. Introduction</w:t>
      </w:r>
    </w:p>
    <w:p>
      <w:pPr>
        <w:pStyle w:val="Heading2"/>
        <w:spacing w:before="280" w:after="120"/>
      </w:pPr>
      <w:r>
        <w:rPr>
          <w:rFonts w:ascii="Arial" w:cs="Arial" w:eastAsia="Arial" w:hAnsi="Arial"/>
          <w:b/>
          <w:bCs/>
          <w:color w:val="2E6DB4"/>
          <w:sz w:val="28"/>
          <w:szCs w:val="28"/>
        </w:rPr>
        <w:t xml:space="preserve">1.1 Background and Motivation</w:t>
      </w:r>
    </w:p>
    <w:p>
      <w:pPr>
        <w:spacing w:before="0" w:after="160"/>
        <w:jc w:val="both"/>
      </w:pPr>
      <w:r>
        <w:rPr>
          <w:rFonts w:ascii="Arial" w:cs="Arial" w:eastAsia="Arial" w:hAnsi="Arial"/>
          <w:b w:val="false"/>
          <w:bCs w:val="false"/>
          <w:i w:val="false"/>
          <w:iCs w:val="false"/>
          <w:color w:val="374151"/>
          <w:sz w:val="24"/>
          <w:szCs w:val="24"/>
        </w:rPr>
        <w:t xml:space="preserve">Modern pharmaceutical supply chains span dozens of intermediaries — manufacturers, distributors, wholesalers, pharmacies, hospitals, and patients — across national and international borders. The opacity of these multi-tier systems creates fertile ground for fraud, counterfeiting, and diversion. The global trade in falsified medicines is estimated to generate between USD 75 billion and USD 200 billion annually, according to the International Policy Network. In developing nations including Bangladesh, where the Directorate General of Drug Administration (DGDA) oversees over 257 licensed pharmaceutical manufacturers, manual and paper-based record systems make real-time authentication of drug provenance practically impossible.</w:t>
      </w:r>
    </w:p>
    <w:p>
      <w:pPr>
        <w:spacing w:before="0" w:after="160"/>
        <w:jc w:val="both"/>
      </w:pPr>
      <w:r>
        <w:rPr>
          <w:rFonts w:ascii="Arial" w:cs="Arial" w:eastAsia="Arial" w:hAnsi="Arial"/>
          <w:b w:val="false"/>
          <w:bCs w:val="false"/>
          <w:i w:val="false"/>
          <w:iCs w:val="false"/>
          <w:color w:val="374151"/>
          <w:sz w:val="24"/>
          <w:szCs w:val="24"/>
        </w:rPr>
        <w:t xml:space="preserve">Beyond supply chain integrity, the delivery of medications to patients — particularly in urgent clinical contexts — presents a separate but equally critical failure mode. In a country like Bangladesh, where population density in urban areas such as Dhaka exceeds 44,000 persons per square kilometre and rural areas face chronic healthcare access deficits, conventional ground-based pharmaceutical delivery is unable to meet the response time requirements of life-critical medications. Insulin for a hypoglycaemic patient, epinephrine for anaphylaxis, or anti-arrhythmic drugs for a cardiac event must arrive within minutes — timelines that traffic-congested urban roads or underdeveloped rural roads cannot reliably satisfy.</w:t>
      </w:r>
    </w:p>
    <w:p>
      <w:pPr>
        <w:spacing w:before="0" w:after="160"/>
        <w:jc w:val="both"/>
      </w:pPr>
      <w:r>
        <w:rPr>
          <w:rFonts w:ascii="Arial" w:cs="Arial" w:eastAsia="Arial" w:hAnsi="Arial"/>
          <w:b w:val="false"/>
          <w:bCs w:val="false"/>
          <w:i w:val="false"/>
          <w:iCs w:val="false"/>
          <w:color w:val="374151"/>
          <w:sz w:val="24"/>
          <w:szCs w:val="24"/>
        </w:rPr>
        <w:t xml:space="preserve">Unmanned Aerial Vehicles (UAVs), commonly referred to as drones, have emerged as a technologically mature and commercially viable solution to the last-mile delivery problem in constrained environments. UAVs are not constrained by ground infrastructure, can travel direct point-to-point trajectories, and have demonstrated deliveries in clinical settings across Rwanda, Ghana, and the United States. However, deploying UAVs in a pharmaceutical context without a secure, auditable, and tamper-evident operational framework introduces serious risks: stolen or cloned UAV identities could intercept deliveries; unverified prescriptions could enable drug diversion; and the absence of an immutable GPS trail eliminates accountability for the chain of custody.</w:t>
      </w:r>
    </w:p>
    <w:p>
      <w:pPr>
        <w:spacing w:before="0" w:after="160"/>
        <w:jc w:val="both"/>
      </w:pPr>
      <w:r>
        <w:rPr>
          <w:rFonts w:ascii="Arial" w:cs="Arial" w:eastAsia="Arial" w:hAnsi="Arial"/>
          <w:b w:val="false"/>
          <w:bCs w:val="false"/>
          <w:i w:val="false"/>
          <w:iCs w:val="false"/>
          <w:color w:val="374151"/>
          <w:sz w:val="24"/>
          <w:szCs w:val="24"/>
        </w:rPr>
        <w:t xml:space="preserve">Blockchain technology, with its properties of immutability, decentralisation, transparency, and cryptographic auditability, presents the natural technological foundation for addressing both pharmaceutical supply chain integrity and UAV operational accountability. However, existing blockchain deployments in healthcare present a fundamental architectural conflict: patient medical data demands strong privacy, controlled access, and permissioned visibility — properties best served by a private, permissioned blockchain. UAV operational data, conversely, demands high throughput, low latency, and IoT-optimised transaction semantics — properties best served by a distinct, purpose-built ledger. No single blockchain platform adequately satisfies both requirement sets simultaneously.</w:t>
      </w:r>
    </w:p>
    <w:p>
      <w:pPr>
        <w:spacing w:before="0" w:after="160"/>
        <w:jc w:val="both"/>
      </w:pPr>
      <w:r>
        <w:rPr>
          <w:rFonts w:ascii="Arial" w:cs="Arial" w:eastAsia="Arial" w:hAnsi="Arial"/>
          <w:b w:val="false"/>
          <w:bCs w:val="false"/>
          <w:i w:val="false"/>
          <w:iCs w:val="false"/>
          <w:color w:val="374151"/>
          <w:sz w:val="24"/>
          <w:szCs w:val="24"/>
        </w:rPr>
        <w:t xml:space="preserve">DCBA resolves this conflict through a deliberate dual-chain architecture: a Patient Data Chain (PDC) optimised for privacy and patient data sovereignty, and a UAV Operational Chain (UOC) optimised for IoT throughput and delivery logistics, connected by a secure cross-chain oracle bridge. The result is a system in which the security guarantees of each chain are preserved while the two chains cooperate to deliver an end-to-end, verifiable pharmaceutical delivery pipeline.</w:t>
      </w:r>
    </w:p>
    <w:p>
      <w:pPr>
        <w:pStyle w:val="Heading2"/>
        <w:spacing w:before="280" w:after="120"/>
      </w:pPr>
      <w:r>
        <w:rPr>
          <w:rFonts w:ascii="Arial" w:cs="Arial" w:eastAsia="Arial" w:hAnsi="Arial"/>
          <w:b/>
          <w:bCs/>
          <w:color w:val="2E6DB4"/>
          <w:sz w:val="28"/>
          <w:szCs w:val="28"/>
        </w:rPr>
        <w:t xml:space="preserve">1.2 Problem Statement</w:t>
      </w:r>
    </w:p>
    <w:p>
      <w:pPr>
        <w:spacing w:before="0" w:after="160"/>
        <w:jc w:val="both"/>
      </w:pPr>
      <w:r>
        <w:rPr>
          <w:rFonts w:ascii="Arial" w:cs="Arial" w:eastAsia="Arial" w:hAnsi="Arial"/>
          <w:b w:val="false"/>
          <w:bCs w:val="false"/>
          <w:i w:val="false"/>
          <w:iCs w:val="false"/>
          <w:color w:val="374151"/>
          <w:sz w:val="24"/>
          <w:szCs w:val="24"/>
        </w:rPr>
        <w:t xml:space="preserve">The core problem addressed by DCBA can be stated precisely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20"/>
              <w:left w:type="dxa" w:w="200"/>
              <w:bottom w:type="dxa" w:w="120"/>
              <w:right w:type="dxa" w:w="200"/>
            </w:tcMar>
          </w:tcPr>
          <w:p>
            <w:pPr>
              <w:spacing w:before="0" w:after="80"/>
            </w:pPr>
            <w:r>
              <w:rPr>
                <w:rFonts w:ascii="Arial" w:cs="Arial" w:eastAsia="Arial" w:hAnsi="Arial"/>
                <w:b/>
                <w:bCs/>
                <w:color w:val="1A3A6B"/>
                <w:sz w:val="22"/>
                <w:szCs w:val="22"/>
              </w:rPr>
              <w:t xml:space="preserve">Problem Statement</w:t>
            </w:r>
          </w:p>
          <w:p>
            <w:pPr>
              <w:spacing w:before="0" w:after="0"/>
              <w:jc w:val="both"/>
            </w:pPr>
            <w:r>
              <w:rPr>
                <w:rFonts w:ascii="Arial" w:cs="Arial" w:eastAsia="Arial" w:hAnsi="Arial"/>
                <w:color w:val="374151"/>
                <w:sz w:val="22"/>
                <w:szCs w:val="22"/>
              </w:rPr>
              <w:t xml:space="preserve">Given a pharmaceutical delivery request from a clinically verified Healthcare Provider on behalf of a patient, how can a system ensure that: (1) the prescription is cryptographically authenticated and tamper-evident; (2) the patient's medical data remains sovereign — readable only by the patient — regardless of who writes, stores, or audits the record; (3) the most capable available UAV is selected for delivery through a verifiable, replay-safe, and computationally efficient process; (4) delivery priority is enforced based on clinical urgency with on-chain SLA accountability; (5) the complete chain of custody from prescription creation through drug dispensation to patient delivery is permanently and immutably recorded; and (6) all actors in the system — human and machine — are cryptographically verified on every operation, with no implicit trust granted to any party.</w:t>
            </w:r>
          </w:p>
        </w:tc>
      </w:tr>
    </w:tbl>
    <w:p>
      <w:pPr>
        <w:pStyle w:val="Heading2"/>
        <w:spacing w:before="280" w:after="120"/>
      </w:pPr>
      <w:r>
        <w:rPr>
          <w:rFonts w:ascii="Arial" w:cs="Arial" w:eastAsia="Arial" w:hAnsi="Arial"/>
          <w:b/>
          <w:bCs/>
          <w:color w:val="2E6DB4"/>
          <w:sz w:val="28"/>
          <w:szCs w:val="28"/>
        </w:rPr>
        <w:t xml:space="preserve">1.3 Research Objectives</w:t>
      </w:r>
    </w:p>
    <w:p>
      <w:pPr>
        <w:spacing w:before="0" w:after="160"/>
        <w:jc w:val="both"/>
      </w:pPr>
      <w:r>
        <w:rPr>
          <w:rFonts w:ascii="Arial" w:cs="Arial" w:eastAsia="Arial" w:hAnsi="Arial"/>
          <w:b w:val="false"/>
          <w:bCs w:val="false"/>
          <w:i w:val="false"/>
          <w:iCs w:val="false"/>
          <w:color w:val="374151"/>
          <w:sz w:val="24"/>
          <w:szCs w:val="24"/>
        </w:rPr>
        <w:t xml:space="preserve">This research pursues five primary objectives:</w:t>
      </w:r>
    </w:p>
    <w:p>
      <w:pPr>
        <w:pStyle w:val="ListParagraph"/>
        <w:numPr>
          <w:ilvl w:val="0"/>
          <w:numId w:val="2"/>
        </w:numPr>
        <w:spacing w:before="0" w:after="100"/>
      </w:pPr>
      <w:r>
        <w:rPr>
          <w:rFonts w:ascii="Arial" w:cs="Arial" w:eastAsia="Arial" w:hAnsi="Arial"/>
          <w:b w:val="false"/>
          <w:bCs w:val="false"/>
          <w:color w:val="374151"/>
          <w:sz w:val="24"/>
          <w:szCs w:val="24"/>
        </w:rPr>
        <w:t xml:space="preserve">Design and implement a dual-chain blockchain architecture that separates patient data concerns (PDC) from UAV operational concerns (UOC), connected by a replay-safe cross-chain oracle, and demonstrate its superiority over single-chain alternatives in terms of privacy, performance, and security.</w:t>
      </w:r>
    </w:p>
    <w:p>
      <w:pPr>
        <w:pStyle w:val="ListParagraph"/>
        <w:numPr>
          <w:ilvl w:val="0"/>
          <w:numId w:val="2"/>
        </w:numPr>
        <w:spacing w:before="0" w:after="100"/>
      </w:pPr>
      <w:r>
        <w:rPr>
          <w:rFonts w:ascii="Arial" w:cs="Arial" w:eastAsia="Arial" w:hAnsi="Arial"/>
          <w:b w:val="false"/>
          <w:bCs w:val="false"/>
          <w:color w:val="374151"/>
          <w:sz w:val="24"/>
          <w:szCs w:val="24"/>
        </w:rPr>
        <w:t xml:space="preserve">Implement a comprehensive zero-trust identity framework using W3C Decentralised Identifiers (DIDs) for all eight system actors, including a novel hardware-bound identity scheme for IoT UAV devices.</w:t>
      </w:r>
    </w:p>
    <w:p>
      <w:pPr>
        <w:pStyle w:val="ListParagraph"/>
        <w:numPr>
          <w:ilvl w:val="0"/>
          <w:numId w:val="2"/>
        </w:numPr>
        <w:spacing w:before="0" w:after="100"/>
      </w:pPr>
      <w:r>
        <w:rPr>
          <w:rFonts w:ascii="Arial" w:cs="Arial" w:eastAsia="Arial" w:hAnsi="Arial"/>
          <w:b w:val="false"/>
          <w:bCs w:val="false"/>
          <w:color w:val="374151"/>
          <w:sz w:val="24"/>
          <w:szCs w:val="24"/>
        </w:rPr>
        <w:t xml:space="preserve">Develop, implement, and benchmark the Drone Capability Score (DCS) algorithm — a two-phase UAV selection protocol using Bloom filter pre-screening and digital signature verification — demonstrating sub-140 millisecond selection time for fleets of up to 100 UAVs.</w:t>
      </w:r>
    </w:p>
    <w:p>
      <w:pPr>
        <w:pStyle w:val="ListParagraph"/>
        <w:numPr>
          <w:ilvl w:val="0"/>
          <w:numId w:val="2"/>
        </w:numPr>
        <w:spacing w:before="0" w:after="100"/>
      </w:pPr>
      <w:r>
        <w:rPr>
          <w:rFonts w:ascii="Arial" w:cs="Arial" w:eastAsia="Arial" w:hAnsi="Arial"/>
          <w:b w:val="false"/>
          <w:bCs w:val="false"/>
          <w:color w:val="374151"/>
          <w:sz w:val="24"/>
          <w:szCs w:val="24"/>
        </w:rPr>
        <w:t xml:space="preserve">Design and implement the Priority-Aware Routing System (PARS) with four clinically defined urgency tiers, on-chain SLA enforcement, and Regulatory Auditor anomaly detection to prevent priority inflation by Healthcare Providers.</w:t>
      </w:r>
    </w:p>
    <w:p>
      <w:pPr>
        <w:pStyle w:val="ListParagraph"/>
        <w:numPr>
          <w:ilvl w:val="0"/>
          <w:numId w:val="2"/>
        </w:numPr>
        <w:spacing w:before="0" w:after="100"/>
      </w:pPr>
      <w:r>
        <w:rPr>
          <w:rFonts w:ascii="Arial" w:cs="Arial" w:eastAsia="Arial" w:hAnsi="Arial"/>
          <w:b w:val="false"/>
          <w:bCs w:val="false"/>
          <w:color w:val="374151"/>
          <w:sz w:val="24"/>
          <w:szCs w:val="24"/>
        </w:rPr>
        <w:t xml:space="preserve">Quantify system performance through comprehensive benchmarking on established platforms — Hardhat for PDC metrics and Hyperledger Caliper for UOC metrics — and produce reproducible performance data suitable for academic publication.</w:t>
      </w:r>
    </w:p>
    <w:p>
      <w:pPr>
        <w:pStyle w:val="Heading2"/>
        <w:spacing w:before="280" w:after="120"/>
      </w:pPr>
      <w:r>
        <w:rPr>
          <w:rFonts w:ascii="Arial" w:cs="Arial" w:eastAsia="Arial" w:hAnsi="Arial"/>
          <w:b/>
          <w:bCs/>
          <w:color w:val="2E6DB4"/>
          <w:sz w:val="28"/>
          <w:szCs w:val="28"/>
        </w:rPr>
        <w:t xml:space="preserve">1.4 Scope and Limitations</w:t>
      </w:r>
    </w:p>
    <w:p>
      <w:pPr>
        <w:spacing w:before="0" w:after="160"/>
        <w:jc w:val="both"/>
      </w:pPr>
      <w:r>
        <w:rPr>
          <w:rFonts w:ascii="Arial" w:cs="Arial" w:eastAsia="Arial" w:hAnsi="Arial"/>
          <w:b w:val="false"/>
          <w:bCs w:val="false"/>
          <w:i w:val="false"/>
          <w:iCs w:val="false"/>
          <w:color w:val="374151"/>
          <w:sz w:val="24"/>
          <w:szCs w:val="24"/>
        </w:rPr>
        <w:t xml:space="preserve">This research focuses on the design, implementation, and benchmarking of the DCBA protocol layer. Hardware UAV integration is simulated using Docker container processes representing individual UAV instances. Physical drug handling, cold-chain management, and real-world deployment are outside the scope of this work. GPS telemetry is simulated using IPFS-stored synthetic coordinates. The oracle bridge is implemented as a single-node relay service; decentralisation of the oracle layer is identified as future work.</w:t>
      </w:r>
    </w:p>
    <w:p>
      <w:pPr>
        <w:pStyle w:val="Heading2"/>
        <w:spacing w:before="280" w:after="120"/>
      </w:pPr>
      <w:r>
        <w:rPr>
          <w:rFonts w:ascii="Arial" w:cs="Arial" w:eastAsia="Arial" w:hAnsi="Arial"/>
          <w:b/>
          <w:bCs/>
          <w:color w:val="2E6DB4"/>
          <w:sz w:val="28"/>
          <w:szCs w:val="28"/>
        </w:rPr>
        <w:t xml:space="preserve">1.5 Document Organisation</w:t>
      </w:r>
    </w:p>
    <w:p>
      <w:pPr>
        <w:spacing w:before="0" w:after="160"/>
        <w:jc w:val="both"/>
      </w:pPr>
      <w:r>
        <w:rPr>
          <w:rFonts w:ascii="Arial" w:cs="Arial" w:eastAsia="Arial" w:hAnsi="Arial"/>
          <w:b w:val="false"/>
          <w:bCs w:val="false"/>
          <w:i w:val="false"/>
          <w:iCs w:val="false"/>
          <w:color w:val="374151"/>
          <w:sz w:val="24"/>
          <w:szCs w:val="24"/>
        </w:rPr>
        <w:t xml:space="preserve">The remainder of this document is organised as follows. Section 2 provides background on relevant technologies. Section 3 reviews related literature and identifies research gaps. Section 4 details the complete system architecture. Section 5 describes all seven smart contracts. Section 6 presents the core algorithms including DCS, PARS, and the Bloom filter integration. Section 7 analyses the security model. Section 8 presents the implementation plan including tool selection and deployment strategy. Section 9 defines the benchmarking methodology and metrics. Section 10 discusses expected results. Section 11 concludes and outlines future work. References follow.</w:t>
      </w:r>
    </w:p>
    <w:p>
      <w:r>
        <w:br w:type="page"/>
      </w:r>
    </w:p>
    <w:p>
      <w:pPr>
        <w:pStyle w:val="Heading1"/>
        <w:pBdr>
          <w:bottom w:val="single" w:color="2E6DB4" w:sz="4" w:space="4"/>
        </w:pBdr>
        <w:spacing w:before="360" w:after="160"/>
      </w:pPr>
      <w:r>
        <w:rPr>
          <w:rFonts w:ascii="Arial" w:cs="Arial" w:eastAsia="Arial" w:hAnsi="Arial"/>
          <w:b/>
          <w:bCs/>
          <w:color w:val="1A3A6B"/>
          <w:sz w:val="32"/>
          <w:szCs w:val="32"/>
        </w:rPr>
        <w:t xml:space="preserve">2. Background</w:t>
      </w:r>
    </w:p>
    <w:p>
      <w:pPr>
        <w:pStyle w:val="Heading2"/>
        <w:spacing w:before="280" w:after="120"/>
      </w:pPr>
      <w:r>
        <w:rPr>
          <w:rFonts w:ascii="Arial" w:cs="Arial" w:eastAsia="Arial" w:hAnsi="Arial"/>
          <w:b/>
          <w:bCs/>
          <w:color w:val="2E6DB4"/>
          <w:sz w:val="28"/>
          <w:szCs w:val="28"/>
        </w:rPr>
        <w:t xml:space="preserve">2.1 Blockchain Technology Fundamentals</w:t>
      </w:r>
    </w:p>
    <w:p>
      <w:pPr>
        <w:spacing w:before="0" w:after="160"/>
        <w:jc w:val="both"/>
      </w:pPr>
      <w:r>
        <w:rPr>
          <w:rFonts w:ascii="Arial" w:cs="Arial" w:eastAsia="Arial" w:hAnsi="Arial"/>
          <w:b w:val="false"/>
          <w:bCs w:val="false"/>
          <w:i w:val="false"/>
          <w:iCs w:val="false"/>
          <w:color w:val="374151"/>
          <w:sz w:val="24"/>
          <w:szCs w:val="24"/>
        </w:rPr>
        <w:t xml:space="preserve">A blockchain is a distributed ledger maintained by a network of nodes in which records, called blocks, are cryptographically linked through hash chaining. Each block contains a cryptographic hash of the previous block, a timestamp, and a set of transactions. Tampering with any block invalidates all subsequent blocks, making the ledger tamper-evident. The blockchain's consensus mechanism determines how nodes agree on the valid chain state without a central coordinator.</w:t>
      </w:r>
    </w:p>
    <w:p>
      <w:pPr>
        <w:spacing w:before="0" w:after="160"/>
        <w:jc w:val="both"/>
      </w:pPr>
      <w:r>
        <w:rPr>
          <w:rFonts w:ascii="Arial" w:cs="Arial" w:eastAsia="Arial" w:hAnsi="Arial"/>
          <w:b w:val="false"/>
          <w:bCs w:val="false"/>
          <w:i w:val="false"/>
          <w:iCs w:val="false"/>
          <w:color w:val="374151"/>
          <w:sz w:val="24"/>
          <w:szCs w:val="24"/>
        </w:rPr>
        <w:t xml:space="preserve">Two blockchain platforms are central to DCBA: Ethereum and Hyperledger Fabric.</w:t>
      </w:r>
    </w:p>
    <w:p>
      <w:pPr>
        <w:pStyle w:val="Heading3"/>
        <w:spacing w:before="200" w:after="80"/>
      </w:pPr>
      <w:r>
        <w:rPr>
          <w:rFonts w:ascii="Arial" w:cs="Arial" w:eastAsia="Arial" w:hAnsi="Arial"/>
          <w:b/>
          <w:bCs/>
          <w:color w:val="0E7490"/>
          <w:sz w:val="24"/>
          <w:szCs w:val="24"/>
        </w:rPr>
        <w:t xml:space="preserve">2.1.1 Ethereum and Proof-of-Authority Consensus</w:t>
      </w:r>
    </w:p>
    <w:p>
      <w:pPr>
        <w:spacing w:before="0" w:after="160"/>
        <w:jc w:val="both"/>
      </w:pPr>
      <w:r>
        <w:rPr>
          <w:rFonts w:ascii="Arial" w:cs="Arial" w:eastAsia="Arial" w:hAnsi="Arial"/>
          <w:b w:val="false"/>
          <w:bCs w:val="false"/>
          <w:i w:val="false"/>
          <w:iCs w:val="false"/>
          <w:color w:val="374151"/>
          <w:sz w:val="24"/>
          <w:szCs w:val="24"/>
        </w:rPr>
        <w:t xml:space="preserve">Ethereum is a public blockchain platform that supports Turing-complete smart contracts — self-executing programs stored on the blockchain that run deterministically across all nodes. Ethereum's native consensus mechanism, Proof-of-Work (PoW), is energy-intensive and unsuitable for enterprise applications. The Proof-of-Authority (PoA) variant, used in DCBA's PDC, replaces mining with a pre-approved set of validator nodes whose identities are publicly known and accountable. PoA provides significantly higher transaction throughput (typically 100–300 TPS), lower latency (1–3 seconds), and near-zero energy consumption compared to PoW, while maintaining Byzantine fault tolerance for a network of known validators.</w:t>
      </w:r>
    </w:p>
    <w:p>
      <w:pPr>
        <w:spacing w:before="0" w:after="160"/>
        <w:jc w:val="both"/>
      </w:pPr>
      <w:r>
        <w:rPr>
          <w:rFonts w:ascii="Arial" w:cs="Arial" w:eastAsia="Arial" w:hAnsi="Arial"/>
          <w:b w:val="false"/>
          <w:bCs w:val="false"/>
          <w:i w:val="false"/>
          <w:iCs w:val="false"/>
          <w:color w:val="374151"/>
          <w:sz w:val="24"/>
          <w:szCs w:val="24"/>
        </w:rPr>
        <w:t xml:space="preserve">Smart contracts on Ethereum are written in Solidity, a statically typed language that compiles to Ethereum Virtual Machine (EVM) bytecode. Solidity's storage model — based on mappings, structs, and dynamic arrays stored at persistent state slots — forms the foundation for DCBA's on-chain data structures. Gas costs in PoA networks are typically either zero or nominal, making on-chain storage economically viable for permissioned enterprise deployments.</w:t>
      </w:r>
    </w:p>
    <w:p>
      <w:pPr>
        <w:pStyle w:val="Heading3"/>
        <w:spacing w:before="200" w:after="80"/>
      </w:pPr>
      <w:r>
        <w:rPr>
          <w:rFonts w:ascii="Arial" w:cs="Arial" w:eastAsia="Arial" w:hAnsi="Arial"/>
          <w:b/>
          <w:bCs/>
          <w:color w:val="0E7490"/>
          <w:sz w:val="24"/>
          <w:szCs w:val="24"/>
        </w:rPr>
        <w:t xml:space="preserve">2.1.2 Hyperledger Fabric</w:t>
      </w:r>
    </w:p>
    <w:p>
      <w:pPr>
        <w:spacing w:before="0" w:after="160"/>
        <w:jc w:val="both"/>
      </w:pPr>
      <w:r>
        <w:rPr>
          <w:rFonts w:ascii="Arial" w:cs="Arial" w:eastAsia="Arial" w:hAnsi="Arial"/>
          <w:b w:val="false"/>
          <w:bCs w:val="false"/>
          <w:i w:val="false"/>
          <w:iCs w:val="false"/>
          <w:color w:val="374151"/>
          <w:sz w:val="24"/>
          <w:szCs w:val="24"/>
        </w:rPr>
        <w:t xml:space="preserve">Hyperledger Fabric is an enterprise-grade permissioned blockchain framework maintained by the Linux Foundation. Unlike Ethereum's order-execute model, Fabric uses an execute-order-validate model: smart contracts (called chaincodes) are executed by endorser nodes to generate proposals, which are then ordered by ordering nodes (using the Raft consensus protocol in Fabric 2.x) and validated by all committer nodes before being committed to the ledger. This architecture enables significantly higher throughput than public blockchains, with benchmarks reporting 3,000–10,000 transactions per second under optimal conditions.</w:t>
      </w:r>
    </w:p>
    <w:p>
      <w:pPr>
        <w:spacing w:before="0" w:after="160"/>
        <w:jc w:val="both"/>
      </w:pPr>
      <w:r>
        <w:rPr>
          <w:rFonts w:ascii="Arial" w:cs="Arial" w:eastAsia="Arial" w:hAnsi="Arial"/>
          <w:b w:val="false"/>
          <w:bCs w:val="false"/>
          <w:i w:val="false"/>
          <w:iCs w:val="false"/>
          <w:color w:val="374151"/>
          <w:sz w:val="24"/>
          <w:szCs w:val="24"/>
        </w:rPr>
        <w:t xml:space="preserve">Fabric's channel mechanism allows multiple organisations to maintain logically isolated sub-ledgers within the same network, enabling fine-grained data visibility control. Endorsement policies specify which combination of organisations must co-sign a transaction for it to be valid, providing multi-party integrity guarantees. These properties make Fabric ideal for DCBA's UOC, which must handle high-frequency UAV telemetry, scoring submissions, and delivery state updates across multiple organisations including Drone Stations, Drug Warehouses, and UAV operators.</w:t>
      </w:r>
    </w:p>
    <w:p>
      <w:pPr>
        <w:pStyle w:val="Heading2"/>
        <w:spacing w:before="280" w:after="120"/>
      </w:pPr>
      <w:r>
        <w:rPr>
          <w:rFonts w:ascii="Arial" w:cs="Arial" w:eastAsia="Arial" w:hAnsi="Arial"/>
          <w:b/>
          <w:bCs/>
          <w:color w:val="2E6DB4"/>
          <w:sz w:val="28"/>
          <w:szCs w:val="28"/>
        </w:rPr>
        <w:t xml:space="preserve">2.2 Decentralised Identity and W3C DID</w:t>
      </w:r>
    </w:p>
    <w:p>
      <w:pPr>
        <w:spacing w:before="0" w:after="160"/>
        <w:jc w:val="both"/>
      </w:pPr>
      <w:r>
        <w:rPr>
          <w:rFonts w:ascii="Arial" w:cs="Arial" w:eastAsia="Arial" w:hAnsi="Arial"/>
          <w:b w:val="false"/>
          <w:bCs w:val="false"/>
          <w:i w:val="false"/>
          <w:iCs w:val="false"/>
          <w:color w:val="374151"/>
          <w:sz w:val="24"/>
          <w:szCs w:val="24"/>
        </w:rPr>
        <w:t xml:space="preserve">A Decentralised Identifier (DID) is a W3C-standardised globally unique identifier that does not require a central registration authority. A DID resolves to a DID Document containing cryptographic material (public keys), authentication methods, and service endpoints. The key innovation of DIDs over traditional identifiers is that the controller of a DID — the entity that can update or deactivate it — is the entity holding the corresponding private key, not a third-party registrar.</w:t>
      </w:r>
    </w:p>
    <w:p>
      <w:pPr>
        <w:spacing w:before="0" w:after="160"/>
        <w:jc w:val="both"/>
      </w:pPr>
      <w:r>
        <w:rPr>
          <w:rFonts w:ascii="Arial" w:cs="Arial" w:eastAsia="Arial" w:hAnsi="Arial"/>
          <w:b w:val="false"/>
          <w:bCs w:val="false"/>
          <w:i w:val="false"/>
          <w:iCs w:val="false"/>
          <w:color w:val="374151"/>
          <w:sz w:val="24"/>
          <w:szCs w:val="24"/>
        </w:rPr>
        <w:t xml:space="preserve">The DID syntax follows the pattern: did:{method}:{method-specific-id}. In DCBA, the method is 'dcba' and the method-specific identifier is derived from a hash of the actor's public key, resulting in identifiers such as did:dcba:patient:H(keypub_P) or did:dcba:uav:H(mac‖τs‖seed). Every DID in DCBA is anchored to the SC-1 Identity Registry smart contract, which serves as the authoritative DID registry for the entire system.</w:t>
      </w:r>
    </w:p>
    <w:p>
      <w:pPr>
        <w:spacing w:before="0" w:after="160"/>
        <w:jc w:val="both"/>
      </w:pPr>
      <w:r>
        <w:rPr>
          <w:rFonts w:ascii="Arial" w:cs="Arial" w:eastAsia="Arial" w:hAnsi="Arial"/>
          <w:b w:val="false"/>
          <w:bCs w:val="false"/>
          <w:i w:val="false"/>
          <w:iCs w:val="false"/>
          <w:color w:val="374151"/>
          <w:sz w:val="24"/>
          <w:szCs w:val="24"/>
        </w:rPr>
        <w:t xml:space="preserve">W3C Verifiable Credentials (VCs) complement DIDs by providing a standardised format for cryptographically verifiable claims about a DID subject — for example, that a Healthcare Provider holds a valid medical licence, or that a UAV holds a current airworthiness certification. In DCBA, VCs are associated with each DID registration event in SC-1.</w:t>
      </w:r>
    </w:p>
    <w:p>
      <w:pPr>
        <w:pStyle w:val="Heading2"/>
        <w:spacing w:before="280" w:after="120"/>
      </w:pPr>
      <w:r>
        <w:rPr>
          <w:rFonts w:ascii="Arial" w:cs="Arial" w:eastAsia="Arial" w:hAnsi="Arial"/>
          <w:b/>
          <w:bCs/>
          <w:color w:val="2E6DB4"/>
          <w:sz w:val="28"/>
          <w:szCs w:val="28"/>
        </w:rPr>
        <w:t xml:space="preserve">2.3 Cross-Chain Oracle Bridges</w:t>
      </w:r>
    </w:p>
    <w:p>
      <w:pPr>
        <w:spacing w:before="0" w:after="160"/>
        <w:jc w:val="both"/>
      </w:pPr>
      <w:r>
        <w:rPr>
          <w:rFonts w:ascii="Arial" w:cs="Arial" w:eastAsia="Arial" w:hAnsi="Arial"/>
          <w:b w:val="false"/>
          <w:bCs w:val="false"/>
          <w:i w:val="false"/>
          <w:iCs w:val="false"/>
          <w:color w:val="374151"/>
          <w:sz w:val="24"/>
          <w:szCs w:val="24"/>
        </w:rPr>
        <w:t xml:space="preserve">A blockchain oracle is a mechanism for importing external information — information that does not originate on the blockchain itself — into a smart contract. Cross-chain oracles specifically enable smart contracts on one blockchain to access data from another blockchain, resolving the fundamental problem that blockchain networks are isolated from each other by design.</w:t>
      </w:r>
    </w:p>
    <w:p>
      <w:pPr>
        <w:spacing w:before="0" w:after="160"/>
        <w:jc w:val="both"/>
      </w:pPr>
      <w:r>
        <w:rPr>
          <w:rFonts w:ascii="Arial" w:cs="Arial" w:eastAsia="Arial" w:hAnsi="Arial"/>
          <w:b w:val="false"/>
          <w:bCs w:val="false"/>
          <w:i w:val="false"/>
          <w:iCs w:val="false"/>
          <w:color w:val="374151"/>
          <w:sz w:val="24"/>
          <w:szCs w:val="24"/>
        </w:rPr>
        <w:t xml:space="preserve">Naive oracle implementations rely on a single trusted data source, creating a single point of failure — a problem known as the oracle problem. Decentralised oracle networks (e.g., Chainlink) address this by aggregating data from multiple independent oracle nodes and applying threshold signature or median-aggregation schemes. DCBA's SC-7 implements a simplified single-relay oracle for the testnet environment, with decentralised oracle integration identified as a future work priority.</w:t>
      </w:r>
    </w:p>
    <w:p>
      <w:pPr>
        <w:spacing w:before="0" w:after="160"/>
        <w:jc w:val="both"/>
      </w:pPr>
      <w:r>
        <w:rPr>
          <w:rFonts w:ascii="Arial" w:cs="Arial" w:eastAsia="Arial" w:hAnsi="Arial"/>
          <w:b w:val="false"/>
          <w:bCs w:val="false"/>
          <w:i w:val="false"/>
          <w:iCs w:val="false"/>
          <w:color w:val="374151"/>
          <w:sz w:val="24"/>
          <w:szCs w:val="24"/>
        </w:rPr>
        <w:t xml:space="preserve">The oracle bridge in DCBA plays a specific and bounded role: it verifies that a prescription hash (rxHash) written on the PDC by an authenticated Healthcare Provider genuinely exists before the UOC permits a delivery order to be dispatched. This one-directional, one-time-use verification design minimises the attack surface of the oracle — the bridge only answers yes/no questions and marks each query as consumed, preventing replay attacks.</w:t>
      </w:r>
    </w:p>
    <w:p>
      <w:pPr>
        <w:pStyle w:val="Heading2"/>
        <w:spacing w:before="280" w:after="120"/>
      </w:pPr>
      <w:r>
        <w:rPr>
          <w:rFonts w:ascii="Arial" w:cs="Arial" w:eastAsia="Arial" w:hAnsi="Arial"/>
          <w:b/>
          <w:bCs/>
          <w:color w:val="2E6DB4"/>
          <w:sz w:val="28"/>
          <w:szCs w:val="28"/>
        </w:rPr>
        <w:t xml:space="preserve">2.4 Bloom Filters</w:t>
      </w:r>
    </w:p>
    <w:p>
      <w:pPr>
        <w:spacing w:before="0" w:after="160"/>
        <w:jc w:val="both"/>
      </w:pPr>
      <w:r>
        <w:rPr>
          <w:rFonts w:ascii="Arial" w:cs="Arial" w:eastAsia="Arial" w:hAnsi="Arial"/>
          <w:b w:val="false"/>
          <w:bCs w:val="false"/>
          <w:i w:val="false"/>
          <w:iCs w:val="false"/>
          <w:color w:val="374151"/>
          <w:sz w:val="24"/>
          <w:szCs w:val="24"/>
        </w:rPr>
        <w:t xml:space="preserve">A Bloom filter is a probabilistic data structure that tests set membership in constant time O(1) using sub-linear space. It was introduced by Burton Howard Bloom in 1970. The data structure consists of a bit array of m bits, all initialised to zero, and k hash functions each mapping an element to one of the m positions.</w:t>
      </w:r>
    </w:p>
    <w:p>
      <w:pPr>
        <w:spacing w:before="0" w:after="160"/>
        <w:jc w:val="both"/>
      </w:pPr>
      <w:r>
        <w:rPr>
          <w:rFonts w:ascii="Arial" w:cs="Arial" w:eastAsia="Arial" w:hAnsi="Arial"/>
          <w:b w:val="false"/>
          <w:bCs w:val="false"/>
          <w:i w:val="false"/>
          <w:iCs w:val="false"/>
          <w:color w:val="374151"/>
          <w:sz w:val="24"/>
          <w:szCs w:val="24"/>
        </w:rPr>
        <w:t xml:space="preserve">Insertion: when element x is added to the set, the k hash functions compute k positions in the bit array, and all k bits are set to 1. Lookup: to check whether x is in the set, the same k positions are checked. If any bit is 0, x is definitely not in the set. If all bits are 1, x is probably in the set — but with a small false positive probability ε, which is a function of m, k, and the number of elements inserted.</w:t>
      </w:r>
    </w:p>
    <w:p>
      <w:pPr>
        <w:spacing w:before="0" w:after="160"/>
        <w:jc w:val="both"/>
      </w:pPr>
      <w:r>
        <w:rPr>
          <w:rFonts w:ascii="Arial" w:cs="Arial" w:eastAsia="Arial" w:hAnsi="Arial"/>
          <w:b w:val="false"/>
          <w:bCs w:val="false"/>
          <w:i w:val="false"/>
          <w:iCs w:val="false"/>
          <w:color w:val="374151"/>
          <w:sz w:val="24"/>
          <w:szCs w:val="24"/>
        </w:rPr>
        <w:t xml:space="preserve">The critical asymmetry of Bloom filters is: zero false negatives (a registered element is never incorrectly rejected) with a tunable false positive rate (an unregistered element is occasionally incorrectly accepted). In DCBA's DCS algorithm, the Bloom filter pre-screens UAV DID submissions in SC-4. Unregistered UAV addresses are definitively dropped (zero false negatives guarantee no registered UAV is ever wrongly rejected). The rare false positive — an unregistered UAV passing the Bloom filter — is caught by Phase 2 digital signature verification, making the false positive rate inconsequential for system correctness. For a Bloom filter with a false positive rate of ε &lt; 0.02 (2%), k ≈ 5 hash functions, and a fleet of n = 100 UAVs, the bit array size m ≈ −n·ln(ε) / (ln 2)² ≈ 959 bits — negligible storage cost.</w:t>
      </w:r>
    </w:p>
    <w:p>
      <w:pPr>
        <w:pStyle w:val="Heading2"/>
        <w:spacing w:before="280" w:after="120"/>
      </w:pPr>
      <w:r>
        <w:rPr>
          <w:rFonts w:ascii="Arial" w:cs="Arial" w:eastAsia="Arial" w:hAnsi="Arial"/>
          <w:b/>
          <w:bCs/>
          <w:color w:val="2E6DB4"/>
          <w:sz w:val="28"/>
          <w:szCs w:val="28"/>
        </w:rPr>
        <w:t xml:space="preserve">2.5 Sanitizable Signatures</w:t>
      </w:r>
    </w:p>
    <w:p>
      <w:pPr>
        <w:spacing w:before="0" w:after="160"/>
        <w:jc w:val="both"/>
      </w:pPr>
      <w:r>
        <w:rPr>
          <w:rFonts w:ascii="Arial" w:cs="Arial" w:eastAsia="Arial" w:hAnsi="Arial"/>
          <w:b w:val="false"/>
          <w:bCs w:val="false"/>
          <w:i w:val="false"/>
          <w:iCs w:val="false"/>
          <w:color w:val="374151"/>
          <w:sz w:val="24"/>
          <w:szCs w:val="24"/>
        </w:rPr>
        <w:t xml:space="preserve">A sanitizable signature scheme allows a designated third party — called the sanitizer — to modify pre-specified parts of a signed message without invalidating the original signer's signature. In conventional signature schemes, any modification to the signed content, however minor, produces a verification failure. Sanitizable signatures divide the message content into admissible (modifiable) and protected (fixed) portions, with the signer specifying which portions may be modified and by whom.</w:t>
      </w:r>
    </w:p>
    <w:p>
      <w:pPr>
        <w:spacing w:before="0" w:after="160"/>
        <w:jc w:val="both"/>
      </w:pPr>
      <w:r>
        <w:rPr>
          <w:rFonts w:ascii="Arial" w:cs="Arial" w:eastAsia="Arial" w:hAnsi="Arial"/>
          <w:b w:val="false"/>
          <w:bCs w:val="false"/>
          <w:i w:val="false"/>
          <w:iCs w:val="false"/>
          <w:color w:val="374151"/>
          <w:sz w:val="24"/>
          <w:szCs w:val="24"/>
        </w:rPr>
        <w:t xml:space="preserve">In DCBA's medical record model, the Trusted Authority (TA) signs the base MBLOCK structure, and the Healthcare Provider (HP) is designated as the authorised sanitizer. The HP can append patient-consented medical content to the admissible portion of the MBLOCK without invalidating the TA's root signature. This enables a privacy-preserving update model for electronic health records: the TA's attestation of record structure integrity is permanently preserved, while the HP can fulfil their clinical documentation obligations within the bounds authorised by the patient's SC-2 consent token.</w:t>
      </w:r>
    </w:p>
    <w:p>
      <w:r>
        <w:br w:type="page"/>
      </w:r>
    </w:p>
    <w:p>
      <w:pPr>
        <w:pStyle w:val="Heading1"/>
        <w:pBdr>
          <w:bottom w:val="single" w:color="2E6DB4" w:sz="4" w:space="4"/>
        </w:pBdr>
        <w:spacing w:before="360" w:after="160"/>
      </w:pPr>
      <w:r>
        <w:rPr>
          <w:rFonts w:ascii="Arial" w:cs="Arial" w:eastAsia="Arial" w:hAnsi="Arial"/>
          <w:b/>
          <w:bCs/>
          <w:color w:val="1A3A6B"/>
          <w:sz w:val="32"/>
          <w:szCs w:val="32"/>
        </w:rPr>
        <w:t xml:space="preserve">3. Related Work and Research Gaps</w:t>
      </w:r>
    </w:p>
    <w:p>
      <w:pPr>
        <w:pStyle w:val="Heading2"/>
        <w:spacing w:before="280" w:after="120"/>
      </w:pPr>
      <w:r>
        <w:rPr>
          <w:rFonts w:ascii="Arial" w:cs="Arial" w:eastAsia="Arial" w:hAnsi="Arial"/>
          <w:b/>
          <w:bCs/>
          <w:color w:val="2E6DB4"/>
          <w:sz w:val="28"/>
          <w:szCs w:val="28"/>
        </w:rPr>
        <w:t xml:space="preserve">3.1 Blockchain in Pharmaceutical Supply Chain Management</w:t>
      </w:r>
    </w:p>
    <w:p>
      <w:pPr>
        <w:spacing w:before="0" w:after="160"/>
        <w:jc w:val="both"/>
      </w:pPr>
      <w:r>
        <w:rPr>
          <w:rFonts w:ascii="Arial" w:cs="Arial" w:eastAsia="Arial" w:hAnsi="Arial"/>
          <w:b w:val="false"/>
          <w:bCs w:val="false"/>
          <w:i w:val="false"/>
          <w:iCs w:val="false"/>
          <w:color w:val="374151"/>
          <w:sz w:val="24"/>
          <w:szCs w:val="24"/>
        </w:rPr>
        <w:t xml:space="preserve">The application of blockchain to pharmaceutical supply chain integrity has attracted substantial research attention since 2016. MedRec, proposed by Azaria et al. (2016) at MIT, was among the first systems to use a blockchain-based approach for managing Electronic Health Record (EHR) access permissions, demonstrating the feasibility of using smart contracts as access control mechanisms for sensitive medical data. However, MedRec operates on a single Ethereum chain and does not address delivery logistics, UAV integration, or cross-chain verification.</w:t>
      </w:r>
    </w:p>
    <w:p>
      <w:pPr>
        <w:spacing w:before="0" w:after="160"/>
        <w:jc w:val="both"/>
      </w:pPr>
      <w:r>
        <w:rPr>
          <w:rFonts w:ascii="Arial" w:cs="Arial" w:eastAsia="Arial" w:hAnsi="Arial"/>
          <w:b w:val="false"/>
          <w:bCs w:val="false"/>
          <w:i w:val="false"/>
          <w:iCs w:val="false"/>
          <w:color w:val="374151"/>
          <w:sz w:val="24"/>
          <w:szCs w:val="24"/>
        </w:rPr>
        <w:t xml:space="preserve">Sylim et al. (2018) proposed a blockchain-based pharmaceutical product monitoring system using Hyperledger Fabric, achieving drug traceability from manufacturer to patient through a chain of custody model. While their approach successfully addresses supply chain transparency, it does not incorporate patient data privacy mechanisms (all records are visible to all channel participants), does not include UAV delivery, and lacks any priority-aware routing system.</w:t>
      </w:r>
    </w:p>
    <w:p>
      <w:pPr>
        <w:spacing w:before="0" w:after="160"/>
        <w:jc w:val="both"/>
      </w:pPr>
      <w:r>
        <w:rPr>
          <w:rFonts w:ascii="Arial" w:cs="Arial" w:eastAsia="Arial" w:hAnsi="Arial"/>
          <w:b w:val="false"/>
          <w:bCs w:val="false"/>
          <w:i w:val="false"/>
          <w:iCs w:val="false"/>
          <w:color w:val="374151"/>
          <w:sz w:val="24"/>
          <w:szCs w:val="24"/>
        </w:rPr>
        <w:t xml:space="preserve">Pham et al. (2019) extended blockchain-based drug traceability to include QR code scanning at each supply chain step, providing a practical implementation framework. However, their system relies on a centralised database for off-chain storage and does not provide cryptographic patient data sovereignty — the privacy of medical records is a policy promise rather than a mathematical guarantee.</w:t>
      </w:r>
    </w:p>
    <w:p>
      <w:pPr>
        <w:spacing w:before="0" w:after="160"/>
        <w:jc w:val="both"/>
      </w:pPr>
      <w:r>
        <w:rPr>
          <w:rFonts w:ascii="Arial" w:cs="Arial" w:eastAsia="Arial" w:hAnsi="Arial"/>
          <w:b w:val="false"/>
          <w:bCs w:val="false"/>
          <w:i w:val="false"/>
          <w:iCs w:val="false"/>
          <w:color w:val="374151"/>
          <w:sz w:val="24"/>
          <w:szCs w:val="24"/>
        </w:rPr>
        <w:t xml:space="preserve">Abbas and Bilal (2020) reviewed blockchain applications in healthcare more broadly, identifying the key tension between transparency (desired for accountability) and privacy (required for patient data). They conclude that no existing system adequately balances both properties — a gap that DCBA directly addresses through its dual-chain architecture.</w:t>
      </w:r>
    </w:p>
    <w:p>
      <w:pPr>
        <w:spacing w:before="0" w:after="160"/>
        <w:jc w:val="both"/>
      </w:pPr>
      <w:r>
        <w:rPr>
          <w:rFonts w:ascii="Arial" w:cs="Arial" w:eastAsia="Arial" w:hAnsi="Arial"/>
          <w:b w:val="false"/>
          <w:bCs w:val="false"/>
          <w:i w:val="false"/>
          <w:iCs w:val="false"/>
          <w:color w:val="374151"/>
          <w:sz w:val="24"/>
          <w:szCs w:val="24"/>
        </w:rPr>
        <w:t xml:space="preserve">Jamil et al. (2021) proposed a blockchain-based drug supply chain framework specifically targeting developing nations, including considerations for regulatory compliance. Their work is relevant to the Bangladesh context but operates on a single chain, does not include UAV delivery, and lacks a formal identity framework.</w:t>
      </w:r>
    </w:p>
    <w:p>
      <w:pPr>
        <w:pStyle w:val="Heading2"/>
        <w:spacing w:before="280" w:after="120"/>
      </w:pPr>
      <w:r>
        <w:rPr>
          <w:rFonts w:ascii="Arial" w:cs="Arial" w:eastAsia="Arial" w:hAnsi="Arial"/>
          <w:b/>
          <w:bCs/>
          <w:color w:val="2E6DB4"/>
          <w:sz w:val="28"/>
          <w:szCs w:val="28"/>
        </w:rPr>
        <w:t xml:space="preserve">3.2 UAV-Based Medical Delivery Systems</w:t>
      </w:r>
    </w:p>
    <w:p>
      <w:pPr>
        <w:spacing w:before="0" w:after="160"/>
        <w:jc w:val="both"/>
      </w:pPr>
      <w:r>
        <w:rPr>
          <w:rFonts w:ascii="Arial" w:cs="Arial" w:eastAsia="Arial" w:hAnsi="Arial"/>
          <w:b w:val="false"/>
          <w:bCs w:val="false"/>
          <w:i w:val="false"/>
          <w:iCs w:val="false"/>
          <w:color w:val="374151"/>
          <w:sz w:val="24"/>
          <w:szCs w:val="24"/>
        </w:rPr>
        <w:t xml:space="preserve">Zipline, established in 2016, has demonstrated the operational viability of UAV-based medical supply delivery at scale in Rwanda and Ghana, completing over 500,000 deliveries of blood products, vaccines, and essential medicines. However, Zipline's system is entirely proprietary, centralised, and lacks any blockchain-based accountability or tamper-evident audit trail.</w:t>
      </w:r>
    </w:p>
    <w:p>
      <w:pPr>
        <w:spacing w:before="0" w:after="160"/>
        <w:jc w:val="both"/>
      </w:pPr>
      <w:r>
        <w:rPr>
          <w:rFonts w:ascii="Arial" w:cs="Arial" w:eastAsia="Arial" w:hAnsi="Arial"/>
          <w:b w:val="false"/>
          <w:bCs w:val="false"/>
          <w:i w:val="false"/>
          <w:iCs w:val="false"/>
          <w:color w:val="374151"/>
          <w:sz w:val="24"/>
          <w:szCs w:val="24"/>
        </w:rPr>
        <w:t xml:space="preserve">Thiels et al. (2015) conducted an early feasibility study on UAV delivery of automated external defibrillators (AEDs) to cardiac arrest patients, finding that drones could reach victims significantly faster than ambulances in simulated scenarios — establishing the life-saving potential of high-speed aerial medical delivery that DCBA's PARS system is designed to leverage.</w:t>
      </w:r>
    </w:p>
    <w:p>
      <w:pPr>
        <w:spacing w:before="0" w:after="160"/>
        <w:jc w:val="both"/>
      </w:pPr>
      <w:r>
        <w:rPr>
          <w:rFonts w:ascii="Arial" w:cs="Arial" w:eastAsia="Arial" w:hAnsi="Arial"/>
          <w:b w:val="false"/>
          <w:bCs w:val="false"/>
          <w:i w:val="false"/>
          <w:iCs w:val="false"/>
          <w:color w:val="374151"/>
          <w:sz w:val="24"/>
          <w:szCs w:val="24"/>
        </w:rPr>
        <w:t xml:space="preserve">Ling et al. (2019) studied task assignment algorithms for multi-UAV delivery systems, proposing a dynamic programming approach for optimal UAV routing. Their work informs the DCS algorithm's weight structure but does not address blockchain integration, secure UAV identity, or encrypted capability score submission.</w:t>
      </w:r>
    </w:p>
    <w:p>
      <w:pPr>
        <w:spacing w:before="0" w:after="160"/>
        <w:jc w:val="both"/>
      </w:pPr>
      <w:r>
        <w:rPr>
          <w:rFonts w:ascii="Arial" w:cs="Arial" w:eastAsia="Arial" w:hAnsi="Arial"/>
          <w:b w:val="false"/>
          <w:bCs w:val="false"/>
          <w:i w:val="false"/>
          <w:iCs w:val="false"/>
          <w:color w:val="374151"/>
          <w:sz w:val="24"/>
          <w:szCs w:val="24"/>
        </w:rPr>
        <w:t xml:space="preserve">Rejeb et al. (2022) surveyed drone delivery systems and proposed a blockchain-integrated UAV logistics framework. While they identify blockchain as a useful audit mechanism, their architecture uses a single Ethereum network, does not separate patient and UAV data concerns, and does not implement hardware-bound identity for UAV devices.</w:t>
      </w:r>
    </w:p>
    <w:p>
      <w:pPr>
        <w:pStyle w:val="Heading2"/>
        <w:spacing w:before="280" w:after="120"/>
      </w:pPr>
      <w:r>
        <w:rPr>
          <w:rFonts w:ascii="Arial" w:cs="Arial" w:eastAsia="Arial" w:hAnsi="Arial"/>
          <w:b/>
          <w:bCs/>
          <w:color w:val="2E6DB4"/>
          <w:sz w:val="28"/>
          <w:szCs w:val="28"/>
        </w:rPr>
        <w:t xml:space="preserve">3.3 Multi-Chain and Cross-Chain Architectures</w:t>
      </w:r>
    </w:p>
    <w:p>
      <w:pPr>
        <w:spacing w:before="0" w:after="160"/>
        <w:jc w:val="both"/>
      </w:pPr>
      <w:r>
        <w:rPr>
          <w:rFonts w:ascii="Arial" w:cs="Arial" w:eastAsia="Arial" w:hAnsi="Arial"/>
          <w:b w:val="false"/>
          <w:bCs w:val="false"/>
          <w:i w:val="false"/>
          <w:iCs w:val="false"/>
          <w:color w:val="374151"/>
          <w:sz w:val="24"/>
          <w:szCs w:val="24"/>
        </w:rPr>
        <w:t xml:space="preserve">The concept of purpose-specific blockchain partitioning has emerged as a recognised research direction following the scalability limitations of single-chain designs. Polkadot's parachain architecture (Wood, 2016) and Cosmos's inter-blockchain communication (IBC) protocol (Buchman et al., 2019) provide general-purpose cross-chain communication frameworks at the protocol level. However, these are general-purpose infrastructure designs rather than application-specific dual-chain architectures tailored to the unique privacy and performance trade-offs of healthcare data versus IoT operational data.</w:t>
      </w:r>
    </w:p>
    <w:p>
      <w:pPr>
        <w:spacing w:before="0" w:after="160"/>
        <w:jc w:val="both"/>
      </w:pPr>
      <w:r>
        <w:rPr>
          <w:rFonts w:ascii="Arial" w:cs="Arial" w:eastAsia="Arial" w:hAnsi="Arial"/>
          <w:b w:val="false"/>
          <w:bCs w:val="false"/>
          <w:i w:val="false"/>
          <w:iCs w:val="false"/>
          <w:color w:val="374151"/>
          <w:sz w:val="24"/>
          <w:szCs w:val="24"/>
        </w:rPr>
        <w:t xml:space="preserve">Hyperledger FireFly provides an enterprise multi-chain framework that allows Fabric and Ethereum deployments to coexist. However, it does not address the specific security requirements of pharmaceutical delivery — hardware-bound UAV identity, clinical priority routing, or replay-safe prescription verification are outside its scope.</w:t>
      </w:r>
    </w:p>
    <w:p>
      <w:pPr>
        <w:spacing w:before="0" w:after="160"/>
        <w:jc w:val="both"/>
      </w:pPr>
      <w:r>
        <w:rPr>
          <w:rFonts w:ascii="Arial" w:cs="Arial" w:eastAsia="Arial" w:hAnsi="Arial"/>
          <w:b w:val="false"/>
          <w:bCs w:val="false"/>
          <w:i w:val="false"/>
          <w:iCs w:val="false"/>
          <w:color w:val="374151"/>
          <w:sz w:val="24"/>
          <w:szCs w:val="24"/>
        </w:rPr>
        <w:t xml:space="preserve">Among healthcare-specific multi-chain proposals, Su et al. (2020) proposed a two-tier blockchain for IoT medical data with a main chain for audit and a sub-chain for device data. This architecture is conceptually related to DCBA's dual-chain design but does not address UAV operations, cross-chain prescription verification, or the specific security properties required for pharmaceutical delivery.</w:t>
      </w:r>
    </w:p>
    <w:p>
      <w:pPr>
        <w:pStyle w:val="Heading2"/>
        <w:spacing w:before="280" w:after="120"/>
      </w:pPr>
      <w:r>
        <w:rPr>
          <w:rFonts w:ascii="Arial" w:cs="Arial" w:eastAsia="Arial" w:hAnsi="Arial"/>
          <w:b/>
          <w:bCs/>
          <w:color w:val="2E6DB4"/>
          <w:sz w:val="28"/>
          <w:szCs w:val="28"/>
        </w:rPr>
        <w:t xml:space="preserve">3.4 Identified Research Gaps</w:t>
      </w:r>
    </w:p>
    <w:p>
      <w:pPr>
        <w:spacing w:before="0" w:after="160"/>
        <w:jc w:val="both"/>
      </w:pPr>
      <w:r>
        <w:rPr>
          <w:rFonts w:ascii="Arial" w:cs="Arial" w:eastAsia="Arial" w:hAnsi="Arial"/>
          <w:b w:val="false"/>
          <w:bCs w:val="false"/>
          <w:i w:val="false"/>
          <w:iCs w:val="false"/>
          <w:color w:val="374151"/>
          <w:sz w:val="24"/>
          <w:szCs w:val="24"/>
        </w:rPr>
        <w:t xml:space="preserve">A systematic review of the literature reveals six significant gaps that DCBA is specifically designed to address. These gaps represent genuine absences in published research, not incremental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400"/>
        <w:gridCol w:w="2400"/>
      </w:tblGrid>
      <w:tr>
        <w:trPr>
          <w:tblHeader/>
        </w:trPr>
        <w:tc>
          <w:tcPr>
            <w:tcW w:type="dxa" w:w="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Gap ID</w:t>
            </w:r>
          </w:p>
        </w:tc>
        <w:tc>
          <w:tcPr>
            <w:tcW w:type="dxa" w:w="21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 State of the Art</w:t>
            </w:r>
          </w:p>
        </w:tc>
        <w:tc>
          <w:tcPr>
            <w:tcW w:type="dxa" w:w="2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DCBA Contribution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G1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No dual-chain architecture separating patient data privacy from UAV operational throughput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All systems use a single-chain design, forcing a compromise between privacy and performance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PDC (Ethereum PoA) + UOC (Hyperledger Fabric) with SC-7 oracle bridge</w:t>
            </w:r>
          </w:p>
        </w:tc>
      </w:tr>
      <w:tr>
        <w:tc>
          <w:tcPr>
            <w:tcW w:type="dxa" w:w="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G2</w:t>
            </w:r>
          </w:p>
        </w:tc>
        <w:tc>
          <w:tcPr>
            <w:tcW w:type="dxa" w:w="21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No hardware-bound UAV identity preventing cloning and impersonation</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Software-only DID or API key schemes for UAV authentication</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h = H(mac ‖ τs ‖ seed) binding W3C DID to physical hardware MAC address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G3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No replay-safe cross-chain prescription oracle for pharmaceutical delivery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No system verifies prescriptions across chains before allowing drug dispatch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SC-7 with rxHash one-time-use verification and measured ~5.4s latency</w:t>
            </w:r>
          </w:p>
        </w:tc>
      </w:tr>
      <w:tr>
        <w:tc>
          <w:tcPr>
            <w:tcW w:type="dxa" w:w="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G4</w:t>
            </w:r>
          </w:p>
        </w:tc>
        <w:tc>
          <w:tcPr>
            <w:tcW w:type="dxa" w:w="21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No encrypted UAV capability scoring preventing score manipulation</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First-available or proximity-based UAV selection without cryptographic protection</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DCS: encrypt(cs, keypub_DS) + sign(es, keypri_UAV) + two-phase SC-4 verification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G5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No clinically grounded on-chain priority routing with SLA enforcement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No system encodes clinical urgency as a blockchain routing parameter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PARS 4-tier system with CRITICAL (3min), HIGH (10min), MODERATE (30min), LOW (2hr) SLAs</w:t>
            </w:r>
          </w:p>
        </w:tc>
      </w:tr>
      <w:tr>
        <w:tc>
          <w:tcPr>
            <w:tcW w:type="dxa" w:w="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G6</w:t>
            </w:r>
          </w:p>
        </w:tc>
        <w:tc>
          <w:tcPr>
            <w:tcW w:type="dxa" w:w="21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No patient-sovereign encryption in blockchain EHR — data readable only by patient</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Most systems encrypt at-rest but with provider-readable keys; privacy is policy-based</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EA(MBLOCK, keypub_P): only keypri_P can decrypt; HP writes but cannot read stored content</w:t>
            </w:r>
          </w:p>
        </w:tc>
      </w:tr>
    </w:tbl>
    <w:p>
      <w:pPr>
        <w:spacing w:before="80" w:after="200"/>
        <w:jc w:val="center"/>
      </w:pPr>
      <w:r>
        <w:rPr>
          <w:rFonts w:ascii="Arial" w:cs="Arial" w:eastAsia="Arial" w:hAnsi="Arial"/>
          <w:i/>
          <w:iCs/>
          <w:color w:val="6B7280"/>
          <w:sz w:val="20"/>
          <w:szCs w:val="20"/>
        </w:rPr>
        <w:t xml:space="preserve">Table 3.1: Research Gaps Addressed by DCBA</w:t>
      </w:r>
    </w:p>
    <w:p>
      <w:r>
        <w:br w:type="page"/>
      </w:r>
    </w:p>
    <w:p>
      <w:pPr>
        <w:pStyle w:val="Heading1"/>
        <w:pBdr>
          <w:bottom w:val="single" w:color="2E6DB4" w:sz="4" w:space="4"/>
        </w:pBdr>
        <w:spacing w:before="360" w:after="160"/>
      </w:pPr>
      <w:r>
        <w:rPr>
          <w:rFonts w:ascii="Arial" w:cs="Arial" w:eastAsia="Arial" w:hAnsi="Arial"/>
          <w:b/>
          <w:bCs/>
          <w:color w:val="1A3A6B"/>
          <w:sz w:val="32"/>
          <w:szCs w:val="32"/>
        </w:rPr>
        <w:t xml:space="preserve">4. System Architecture</w:t>
      </w:r>
    </w:p>
    <w:p>
      <w:pPr>
        <w:pStyle w:val="Heading2"/>
        <w:spacing w:before="280" w:after="120"/>
      </w:pPr>
      <w:r>
        <w:rPr>
          <w:rFonts w:ascii="Arial" w:cs="Arial" w:eastAsia="Arial" w:hAnsi="Arial"/>
          <w:b/>
          <w:bCs/>
          <w:color w:val="2E6DB4"/>
          <w:sz w:val="28"/>
          <w:szCs w:val="28"/>
        </w:rPr>
        <w:t xml:space="preserve">4.1 High-Level Design Philosophy</w:t>
      </w:r>
    </w:p>
    <w:p>
      <w:pPr>
        <w:spacing w:before="0" w:after="160"/>
        <w:jc w:val="both"/>
      </w:pPr>
      <w:r>
        <w:rPr>
          <w:rFonts w:ascii="Arial" w:cs="Arial" w:eastAsia="Arial" w:hAnsi="Arial"/>
          <w:b w:val="false"/>
          <w:bCs w:val="false"/>
          <w:i w:val="false"/>
          <w:iCs w:val="false"/>
          <w:color w:val="374151"/>
          <w:sz w:val="24"/>
          <w:szCs w:val="24"/>
        </w:rPr>
        <w:t xml:space="preserve">The DCBA architecture is governed by three foundational design principles: chain separation by purpose, zero implicit trust, and measurable accountability. Chain separation by purpose means that data with fundamentally different privacy, throughput, and regulatory requirements must not coexist on the same ledger. Zero implicit trust means that no transaction is accepted without explicit cryptographic verification of the initiating actor's identity, permissions, and data integrity — regardless of the actor's prior history or organisational affiliation. Measurable accountability means that every significant event in the system — from prescription creation to delivery confirmation — must produce an immutable, timestamped, cryptographically attributable record.</w:t>
      </w:r>
    </w:p>
    <w:p>
      <w:pPr>
        <w:pStyle w:val="Heading2"/>
        <w:spacing w:before="280" w:after="120"/>
      </w:pPr>
      <w:r>
        <w:rPr>
          <w:rFonts w:ascii="Arial" w:cs="Arial" w:eastAsia="Arial" w:hAnsi="Arial"/>
          <w:b/>
          <w:bCs/>
          <w:color w:val="2E6DB4"/>
          <w:sz w:val="28"/>
          <w:szCs w:val="28"/>
        </w:rPr>
        <w:t xml:space="preserve">4.2 Dual-Chain Architecture Overview</w:t>
      </w:r>
    </w:p>
    <w:p>
      <w:pPr>
        <w:spacing w:before="0" w:after="160"/>
        <w:jc w:val="both"/>
      </w:pPr>
      <w:r>
        <w:rPr>
          <w:rFonts w:ascii="Arial" w:cs="Arial" w:eastAsia="Arial" w:hAnsi="Arial"/>
          <w:b w:val="false"/>
          <w:bCs w:val="false"/>
          <w:i w:val="false"/>
          <w:iCs w:val="false"/>
          <w:color w:val="374151"/>
          <w:sz w:val="24"/>
          <w:szCs w:val="24"/>
        </w:rPr>
        <w:t xml:space="preserve">DCBA comprises two purpose-specific blockchain networks connected by a cross-chain oracle bridge:</w:t>
      </w:r>
    </w:p>
    <w:p>
      <w:pPr>
        <w:pStyle w:val="ListParagraph"/>
        <w:numPr>
          <w:ilvl w:val="0"/>
          <w:numId w:val="3"/>
        </w:numPr>
        <w:spacing w:before="0" w:after="100"/>
      </w:pPr>
      <w:r>
        <w:rPr>
          <w:rFonts w:ascii="Arial" w:cs="Arial" w:eastAsia="Arial" w:hAnsi="Arial"/>
          <w:b w:val="false"/>
          <w:bCs w:val="false"/>
          <w:color w:val="374151"/>
          <w:sz w:val="24"/>
          <w:szCs w:val="24"/>
        </w:rPr>
        <w:t xml:space="preserve">Patient Data Chain (PDC): An Ethereum Proof-of-Authority network implementing the Patient Private Channel (PPC). The PDC stores medical records, manages patient identity and consent, and serves as the authoritative source of prescription data. Its permissioned nature limits write access to registered Healthcare Providers with valid patient consent tokens, while read access to encrypted records is governed by patient-controlled cryptographic keys.</w:t>
      </w:r>
    </w:p>
    <w:p>
      <w:pPr>
        <w:pStyle w:val="ListParagraph"/>
        <w:numPr>
          <w:ilvl w:val="0"/>
          <w:numId w:val="3"/>
        </w:numPr>
        <w:spacing w:before="0" w:after="100"/>
      </w:pPr>
      <w:r>
        <w:rPr>
          <w:rFonts w:ascii="Arial" w:cs="Arial" w:eastAsia="Arial" w:hAnsi="Arial"/>
          <w:b w:val="false"/>
          <w:bCs w:val="false"/>
          <w:color w:val="374151"/>
          <w:sz w:val="24"/>
          <w:szCs w:val="24"/>
        </w:rPr>
        <w:t xml:space="preserve">UAV Operational Chain (UOC): A Hyperledger Fabric Raft network implementing the UAV Channel. The UOC manages all delivery logistics: UAV registration and capability scoring, delivery order management, delivery lifecycle tracking, and GPS telemetry logging. Its IoT-optimised architecture handles the high-frequency transaction volume generated by real-time UAV operations.</w:t>
      </w:r>
    </w:p>
    <w:p>
      <w:pPr>
        <w:pStyle w:val="ListParagraph"/>
        <w:numPr>
          <w:ilvl w:val="0"/>
          <w:numId w:val="3"/>
        </w:numPr>
        <w:spacing w:before="0" w:after="100"/>
      </w:pPr>
      <w:r>
        <w:rPr>
          <w:rFonts w:ascii="Arial" w:cs="Arial" w:eastAsia="Arial" w:hAnsi="Arial"/>
          <w:b w:val="false"/>
          <w:bCs w:val="false"/>
          <w:color w:val="374151"/>
          <w:sz w:val="24"/>
          <w:szCs w:val="24"/>
        </w:rPr>
        <w:t xml:space="preserve">SC-7 Oracle Bridge: A cross-chain verification service that allows UOC smart contracts to verify the existence and authenticity of PDC prescriptions before authorising drug dispatch. The oracle bridge is the only point of communication between the two chains, and its interface is deliberately narrow — it answers only yes/no questions about prescription hash validity — minimising the attack surface.</w:t>
      </w:r>
    </w:p>
    <w:p>
      <w:pPr>
        <w:pStyle w:val="Heading2"/>
        <w:spacing w:before="280" w:after="120"/>
      </w:pPr>
      <w:r>
        <w:rPr>
          <w:rFonts w:ascii="Arial" w:cs="Arial" w:eastAsia="Arial" w:hAnsi="Arial"/>
          <w:b/>
          <w:bCs/>
          <w:color w:val="2E6DB4"/>
          <w:sz w:val="28"/>
          <w:szCs w:val="28"/>
        </w:rPr>
        <w:t xml:space="preserve">4.3 Patient Data Chain (PDC) — Detailed Design</w:t>
      </w:r>
    </w:p>
    <w:p>
      <w:pPr>
        <w:pStyle w:val="Heading3"/>
        <w:spacing w:before="200" w:after="80"/>
      </w:pPr>
      <w:r>
        <w:rPr>
          <w:rFonts w:ascii="Arial" w:cs="Arial" w:eastAsia="Arial" w:hAnsi="Arial"/>
          <w:b/>
          <w:bCs/>
          <w:color w:val="0E7490"/>
          <w:sz w:val="24"/>
          <w:szCs w:val="24"/>
        </w:rPr>
        <w:t xml:space="preserve">4.3.1 Network Configuration</w:t>
      </w:r>
    </w:p>
    <w:p>
      <w:pPr>
        <w:spacing w:before="0" w:after="160"/>
        <w:jc w:val="both"/>
      </w:pPr>
      <w:r>
        <w:rPr>
          <w:rFonts w:ascii="Arial" w:cs="Arial" w:eastAsia="Arial" w:hAnsi="Arial"/>
          <w:b w:val="false"/>
          <w:bCs w:val="false"/>
          <w:i w:val="false"/>
          <w:iCs w:val="false"/>
          <w:color w:val="374151"/>
          <w:sz w:val="24"/>
          <w:szCs w:val="24"/>
        </w:rPr>
        <w:t xml:space="preserve">The PDC is implemented using Ethereum PoA with a Clique or IBFT 2.0 consensus engine. The validator set consists of TA-approved nodes, each representing a distinct organisational entity (e.g., a hospital, a regulatory body, or a neutral validator). The Trusted Authority enforces an anti-collusion rule: no single organisation may control more than 50% of the validator seats. Block time is configured for 2–5 seconds, providing a balance between transaction finality speed and network stability. Gas limits are set sufficiently high to accommodate MBLOCK storage transactions; gas costs are waived in the permissioned environment.</w:t>
      </w:r>
    </w:p>
    <w:p>
      <w:pPr>
        <w:pStyle w:val="Heading3"/>
        <w:spacing w:before="200" w:after="80"/>
      </w:pPr>
      <w:r>
        <w:rPr>
          <w:rFonts w:ascii="Arial" w:cs="Arial" w:eastAsia="Arial" w:hAnsi="Arial"/>
          <w:b/>
          <w:bCs/>
          <w:color w:val="0E7490"/>
          <w:sz w:val="24"/>
          <w:szCs w:val="24"/>
        </w:rPr>
        <w:t xml:space="preserve">4.3.2 Patient Private Channel (PPC)</w:t>
      </w:r>
    </w:p>
    <w:p>
      <w:pPr>
        <w:spacing w:before="0" w:after="160"/>
        <w:jc w:val="both"/>
      </w:pPr>
      <w:r>
        <w:rPr>
          <w:rFonts w:ascii="Arial" w:cs="Arial" w:eastAsia="Arial" w:hAnsi="Arial"/>
          <w:b w:val="false"/>
          <w:bCs w:val="false"/>
          <w:i w:val="false"/>
          <w:iCs w:val="false"/>
          <w:color w:val="374151"/>
          <w:sz w:val="24"/>
          <w:szCs w:val="24"/>
        </w:rPr>
        <w:t xml:space="preserve">The PPC is a logical access control layer implemented through SC-2 and SC-3. Every MBLOCK write to SC-3 requires: (1) the writing HP to have a valid SC-2 consent token issued by the target patient; (2) the HP's digital signature on the MBLOCK to be verifiable using SC-1's stored public key hash; and (3) the miner/validator to confirm both conditions before including the transaction in a block. The result is a channel where only credentialed HPs with explicit patient consent can write, and only the patient (possessing keypri_P) can decrypt the stored content.</w:t>
      </w:r>
    </w:p>
    <w:p>
      <w:pPr>
        <w:pStyle w:val="Heading2"/>
        <w:spacing w:before="280" w:after="120"/>
      </w:pPr>
      <w:r>
        <w:rPr>
          <w:rFonts w:ascii="Arial" w:cs="Arial" w:eastAsia="Arial" w:hAnsi="Arial"/>
          <w:b/>
          <w:bCs/>
          <w:color w:val="2E6DB4"/>
          <w:sz w:val="28"/>
          <w:szCs w:val="28"/>
        </w:rPr>
        <w:t xml:space="preserve">4.4 UAV Operational Chain (UOC) — Detailed Design</w:t>
      </w:r>
    </w:p>
    <w:p>
      <w:pPr>
        <w:pStyle w:val="Heading3"/>
        <w:spacing w:before="200" w:after="80"/>
      </w:pPr>
      <w:r>
        <w:rPr>
          <w:rFonts w:ascii="Arial" w:cs="Arial" w:eastAsia="Arial" w:hAnsi="Arial"/>
          <w:b/>
          <w:bCs/>
          <w:color w:val="0E7490"/>
          <w:sz w:val="24"/>
          <w:szCs w:val="24"/>
        </w:rPr>
        <w:t xml:space="preserve">4.4.1 Network Configuration</w:t>
      </w:r>
    </w:p>
    <w:p>
      <w:pPr>
        <w:spacing w:before="0" w:after="160"/>
        <w:jc w:val="both"/>
      </w:pPr>
      <w:r>
        <w:rPr>
          <w:rFonts w:ascii="Arial" w:cs="Arial" w:eastAsia="Arial" w:hAnsi="Arial"/>
          <w:b w:val="false"/>
          <w:bCs w:val="false"/>
          <w:i w:val="false"/>
          <w:iCs w:val="false"/>
          <w:color w:val="374151"/>
          <w:sz w:val="24"/>
          <w:szCs w:val="24"/>
        </w:rPr>
        <w:t xml:space="preserve">The UOC is implemented using Hyperledger Fabric 2.5 with Raft ordering. The network comprises three organisations: the Drone Station Organisation (DSOrg), the Warehouse Organisation (WHOrg), and a Validator Organisation (ValOrg) operated by the Trusted Authority. Each organisation runs two peer nodes and one Certificate Authority (CA). The single ordering service runs five Raft nodes distributed across the three organisations to prevent ordering service capture by any single party. The endorsement policy for critical transactions (delivery state updates, DCS scoring) requires signatures from both DSOrg and WHOrg peers, ensuring no single organisation can unilaterally advance a delivery.</w:t>
      </w:r>
    </w:p>
    <w:p>
      <w:pPr>
        <w:pStyle w:val="Heading3"/>
        <w:spacing w:before="200" w:after="80"/>
      </w:pPr>
      <w:r>
        <w:rPr>
          <w:rFonts w:ascii="Arial" w:cs="Arial" w:eastAsia="Arial" w:hAnsi="Arial"/>
          <w:b/>
          <w:bCs/>
          <w:color w:val="0E7490"/>
          <w:sz w:val="24"/>
          <w:szCs w:val="24"/>
        </w:rPr>
        <w:t xml:space="preserve">4.4.2 Channels and Private Data Collections</w:t>
      </w:r>
    </w:p>
    <w:p>
      <w:pPr>
        <w:spacing w:before="0" w:after="160"/>
        <w:jc w:val="both"/>
      </w:pPr>
      <w:r>
        <w:rPr>
          <w:rFonts w:ascii="Arial" w:cs="Arial" w:eastAsia="Arial" w:hAnsi="Arial"/>
          <w:b w:val="false"/>
          <w:bCs w:val="false"/>
          <w:i w:val="false"/>
          <w:iCs w:val="false"/>
          <w:color w:val="374151"/>
          <w:sz w:val="24"/>
          <w:szCs w:val="24"/>
        </w:rPr>
        <w:t xml:space="preserve">The UOC uses a single primary channel (uav-delivery-channel) visible to all organisations. Sensitive UAV capability scores are submitted to SC-4 in encrypted form, ensuring that even validator nodes observing the transaction cannot derive raw capability scores without the Drone Station's private key. Private Data Collections (PDCs in Fabric terminology) are used for inter-organisational data that should not be broadcast to the entire channel, such as wholesale pricing between specific warehouse-hospital pairs.</w:t>
      </w:r>
    </w:p>
    <w:p>
      <w:pPr>
        <w:pStyle w:val="Heading2"/>
        <w:spacing w:before="280" w:after="120"/>
      </w:pPr>
      <w:r>
        <w:rPr>
          <w:rFonts w:ascii="Arial" w:cs="Arial" w:eastAsia="Arial" w:hAnsi="Arial"/>
          <w:b/>
          <w:bCs/>
          <w:color w:val="2E6DB4"/>
          <w:sz w:val="28"/>
          <w:szCs w:val="28"/>
        </w:rPr>
        <w:t xml:space="preserve">4.5 Principal Actors and Roles</w:t>
      </w:r>
    </w:p>
    <w:p>
      <w:pPr>
        <w:spacing w:before="0" w:after="160"/>
        <w:jc w:val="both"/>
      </w:pPr>
      <w:r>
        <w:rPr>
          <w:rFonts w:ascii="Arial" w:cs="Arial" w:eastAsia="Arial" w:hAnsi="Arial"/>
          <w:b w:val="false"/>
          <w:bCs w:val="false"/>
          <w:i w:val="false"/>
          <w:iCs w:val="false"/>
          <w:color w:val="374151"/>
          <w:sz w:val="24"/>
          <w:szCs w:val="24"/>
        </w:rPr>
        <w:t xml:space="preserve">Eight principal actors participate in the DCBA system, each with a precisely defined set of permissions, chain access rights, and cryptographic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760"/>
        <w:gridCol w:w="3000"/>
      </w:tblGrid>
      <w:tr>
        <w:trPr>
          <w:tblHeader/>
        </w:trPr>
        <w:tc>
          <w:tcPr>
            <w:tcW w:type="dxa" w:w="1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W w:type="dxa" w:w="1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Chain Access</w:t>
            </w:r>
          </w:p>
        </w:tc>
        <w:tc>
          <w:tcPr>
            <w:tcW w:type="dxa" w:w="27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Role</w:t>
            </w:r>
          </w:p>
        </w:tc>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Cryptographic Operations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Trusted Authority (TA)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Both chains — admin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Issues W3C DIDs and VCs; maintains SC-1 on both chains; enforces anti-collusion; escalates to DGDA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Signs VC documents; calls SC-1.register() and SC-1.revoke()</w:t>
            </w:r>
          </w:p>
        </w:tc>
      </w:tr>
      <w:tr>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Patient</w:t>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PDC light node; UOC observer</w:t>
            </w:r>
          </w:p>
        </w:tc>
        <w:tc>
          <w:tcPr>
            <w:tcW w:type="dxa" w:w="2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Data sovereign; grants and revokes HP access; confirms delivery</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Holds keypri_P; calls SC-2.grantAccess(); calls SC-6.confirmDelivery(sig)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Healthcare Provider (HP)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PDC full node; UOC writer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Writes encrypted MBLOCKs; sets PARS score; submits delivery orders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Encrypts: EA(record, keypub_P); signs: σ = Sign(MBLOCK, keypri_HP); calls SC-3.addRecord(); SC-5.submitOrder()</w:t>
            </w:r>
          </w:p>
        </w:tc>
      </w:tr>
      <w:tr>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Drug Warehouse (DW)</w:t>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UOC full node</w:t>
            </w:r>
          </w:p>
        </w:tc>
        <w:tc>
          <w:tcPr>
            <w:tcW w:type="dxa" w:w="2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Confirms drug stock; prepares package; physically hands over to UAV</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Calls SC-5.confirmStock(); SC-6 DISPATCHED update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Drone Station (DS)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UOC full node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Triggers DCS scoring; monitors GPS; handles deviations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Holds keypri_DS; decrypts UAV scores; triggers SC-4; calls SC-6.flagDeviation()</w:t>
            </w:r>
          </w:p>
        </w:tc>
      </w:tr>
      <w:tr>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UAV</w:t>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UOC IoT node</w:t>
            </w:r>
          </w:p>
        </w:tc>
        <w:tc>
          <w:tcPr>
            <w:tcW w:type="dxa" w:w="2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Computes DCS score; delivers package; streams GPS data</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h = H(mac‖τs‖seed); encrypts score: ε = Enc(cs, keypub_DS); signs: Sign(ε, keypri_UAV); logs GPS to IPFS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Miner/Validator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Both chains — infrastructure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Validates blocks; enforces SC-1+SC-2+HP sig checks (PDC); endorsement policy (UOC)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Runs PoA consensus (PDC); Fabric Raft endorsement (UOC)</w:t>
            </w:r>
          </w:p>
        </w:tc>
      </w:tr>
      <w:tr>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Regulatory Auditor (RA)</w:t>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Both chains — read-only</w:t>
            </w:r>
          </w:p>
        </w:tc>
        <w:tc>
          <w:tcPr>
            <w:tcW w:type="dxa" w:w="2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Audits prescription patterns; detects PARS inflation; generates DGDA reports</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Read-only queries; generates cryptographic audit evidence with block hash + timestamp + sig proof</w:t>
            </w:r>
          </w:p>
        </w:tc>
      </w:tr>
    </w:tbl>
    <w:p>
      <w:pPr>
        <w:spacing w:before="80" w:after="200"/>
        <w:jc w:val="center"/>
      </w:pPr>
      <w:r>
        <w:rPr>
          <w:rFonts w:ascii="Arial" w:cs="Arial" w:eastAsia="Arial" w:hAnsi="Arial"/>
          <w:i/>
          <w:iCs/>
          <w:color w:val="6B7280"/>
          <w:sz w:val="20"/>
          <w:szCs w:val="20"/>
        </w:rPr>
        <w:t xml:space="preserve">Table 4.1: DCBA Principal Actors and Their System Roles</w:t>
      </w:r>
    </w:p>
    <w:p>
      <w:pPr>
        <w:pStyle w:val="Heading2"/>
        <w:spacing w:before="280" w:after="120"/>
      </w:pPr>
      <w:r>
        <w:rPr>
          <w:rFonts w:ascii="Arial" w:cs="Arial" w:eastAsia="Arial" w:hAnsi="Arial"/>
          <w:b/>
          <w:bCs/>
          <w:color w:val="2E6DB4"/>
          <w:sz w:val="28"/>
          <w:szCs w:val="28"/>
        </w:rPr>
        <w:t xml:space="preserve">4.6 Smart Contract Overview</w:t>
      </w:r>
    </w:p>
    <w:p>
      <w:pPr>
        <w:spacing w:before="0" w:after="160"/>
        <w:jc w:val="both"/>
      </w:pPr>
      <w:r>
        <w:rPr>
          <w:rFonts w:ascii="Arial" w:cs="Arial" w:eastAsia="Arial" w:hAnsi="Arial"/>
          <w:b w:val="false"/>
          <w:bCs w:val="false"/>
          <w:i w:val="false"/>
          <w:iCs w:val="false"/>
          <w:color w:val="374151"/>
          <w:sz w:val="24"/>
          <w:szCs w:val="24"/>
        </w:rPr>
        <w:t xml:space="preserve">Seven smart contracts govern the DCBA system, divided between PDC and UOC: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060"/>
        <w:gridCol w:w="2000"/>
      </w:tblGrid>
      <w:tr>
        <w:trPr>
          <w:tblHeader/>
        </w:trPr>
        <w:tc>
          <w:tcPr>
            <w:tcW w:type="dxa" w:w="1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Contract</w:t>
            </w:r>
          </w:p>
        </w:tc>
        <w:tc>
          <w:tcPr>
            <w:tcW w:type="dxa" w:w="1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Chain</w:t>
            </w:r>
          </w:p>
        </w:tc>
        <w:tc>
          <w:tcPr>
            <w:tcW w:type="dxa" w:w="30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Depends 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SC-1: Identity Registry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Both (deployed identically)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Registers and revokes all actor DIDs; isActive() called by all other contracts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None — deployed first</w:t>
            </w:r>
          </w:p>
        </w:tc>
      </w:tr>
      <w:tr>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SC-2: Patient Consent</w:t>
            </w:r>
          </w:p>
        </w:tc>
        <w:tc>
          <w:tcPr>
            <w:tcW w:type="dxa" w:w="1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PDC</w:t>
            </w:r>
          </w:p>
        </w:tc>
        <w:tc>
          <w:tcPr>
            <w:tcW w:type="dxa" w:w="30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Manages time-limited HP access tokens; grantAccess() / revokeAccess()</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SC-3: Medical Records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PDC</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Stores encrypted MBLOCK references; validates HP + SC-2 gate; auto-registers rxHash in SC-7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SC-1, SC-2, SC-7</w:t>
            </w:r>
          </w:p>
        </w:tc>
      </w:tr>
      <w:tr>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SC-4: DCS Scoring</w:t>
            </w:r>
          </w:p>
        </w:tc>
        <w:tc>
          <w:tcPr>
            <w:tcW w:type="dxa" w:w="1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UOC</w:t>
            </w:r>
          </w:p>
        </w:tc>
        <w:tc>
          <w:tcPr>
            <w:tcW w:type="dxa" w:w="30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Manages DCS scoring rounds; two-phase Bloom + sig verification; role assignment</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SC-5: Delivery Orders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UOC</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PARS priority queue; SC-7 oracle call; DW and DS assignment; SLA deadlines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SC-1, SC-7</w:t>
            </w:r>
          </w:p>
        </w:tc>
      </w:tr>
      <w:tr>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SC-6: Delivery Lifecycle</w:t>
            </w:r>
          </w:p>
        </w:tc>
        <w:tc>
          <w:tcPr>
            <w:tcW w:type="dxa" w:w="1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UOC</w:t>
            </w:r>
          </w:p>
        </w:tc>
        <w:tc>
          <w:tcPr>
            <w:tcW w:type="dxa" w:w="30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State machine PENDING→DELIVERED; GPS IPFS logging; deviation detection; patient confirmation</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SC-1, SC-4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SC-7: Oracle Bridge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Shared (PDC→UOC relay)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Cross-chain rxHash verification; one-time-use replay prevention; ~5.4s latency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SC-3 (sender only)</w:t>
            </w:r>
          </w:p>
        </w:tc>
      </w:tr>
    </w:tbl>
    <w:p>
      <w:pPr>
        <w:spacing w:before="80" w:after="200"/>
        <w:jc w:val="center"/>
      </w:pPr>
      <w:r>
        <w:rPr>
          <w:rFonts w:ascii="Arial" w:cs="Arial" w:eastAsia="Arial" w:hAnsi="Arial"/>
          <w:i/>
          <w:iCs/>
          <w:color w:val="6B7280"/>
          <w:sz w:val="20"/>
          <w:szCs w:val="20"/>
        </w:rPr>
        <w:t xml:space="preserve">Table 4.2: DCBA Smart Contract Summary</w:t>
      </w:r>
    </w:p>
    <w:p>
      <w:pPr>
        <w:pStyle w:val="Heading2"/>
        <w:spacing w:before="280" w:after="120"/>
      </w:pPr>
      <w:r>
        <w:rPr>
          <w:rFonts w:ascii="Arial" w:cs="Arial" w:eastAsia="Arial" w:hAnsi="Arial"/>
          <w:b/>
          <w:bCs/>
          <w:color w:val="2E6DB4"/>
          <w:sz w:val="28"/>
          <w:szCs w:val="28"/>
        </w:rPr>
        <w:t xml:space="preserve">4.7 System Data Flow — End-to-End</w:t>
      </w:r>
    </w:p>
    <w:p>
      <w:pPr>
        <w:spacing w:before="0" w:after="160"/>
        <w:jc w:val="both"/>
      </w:pPr>
      <w:r>
        <w:rPr>
          <w:rFonts w:ascii="Arial" w:cs="Arial" w:eastAsia="Arial" w:hAnsi="Arial"/>
          <w:b w:val="false"/>
          <w:bCs w:val="false"/>
          <w:i w:val="false"/>
          <w:iCs w:val="false"/>
          <w:color w:val="374151"/>
          <w:sz w:val="24"/>
          <w:szCs w:val="24"/>
        </w:rPr>
        <w:t xml:space="preserve">The complete DCBA transaction flow from prescription creation to delivery confirmation proceeds through the following sequence:</w:t>
      </w:r>
    </w:p>
    <w:p>
      <w:pPr>
        <w:pStyle w:val="ListParagraph"/>
        <w:numPr>
          <w:ilvl w:val="0"/>
          <w:numId w:val="2"/>
        </w:numPr>
        <w:spacing w:before="0" w:after="100"/>
      </w:pPr>
      <w:r>
        <w:rPr>
          <w:rFonts w:ascii="Arial" w:cs="Arial" w:eastAsia="Arial" w:hAnsi="Arial"/>
          <w:b w:val="false"/>
          <w:bCs w:val="false"/>
          <w:color w:val="374151"/>
          <w:sz w:val="24"/>
          <w:szCs w:val="24"/>
        </w:rPr>
        <w:t xml:space="preserve">Patient registers with TA, receives DID: did:dcba:patient:H(keypub_P). TA calls SC-1.register() on both chains simultaneously.</w:t>
      </w:r>
    </w:p>
    <w:p>
      <w:pPr>
        <w:pStyle w:val="ListParagraph"/>
        <w:numPr>
          <w:ilvl w:val="0"/>
          <w:numId w:val="2"/>
        </w:numPr>
        <w:spacing w:before="0" w:after="100"/>
      </w:pPr>
      <w:r>
        <w:rPr>
          <w:rFonts w:ascii="Arial" w:cs="Arial" w:eastAsia="Arial" w:hAnsi="Arial"/>
          <w:b w:val="false"/>
          <w:bCs w:val="false"/>
          <w:color w:val="374151"/>
          <w:sz w:val="24"/>
          <w:szCs w:val="24"/>
        </w:rPr>
        <w:t xml:space="preserve">HP registers with TA, receives DID: did:dcba:hp:H(hospitalLicense). SC-1 updated on both chains.</w:t>
      </w:r>
    </w:p>
    <w:p>
      <w:pPr>
        <w:pStyle w:val="ListParagraph"/>
        <w:numPr>
          <w:ilvl w:val="0"/>
          <w:numId w:val="2"/>
        </w:numPr>
        <w:spacing w:before="0" w:after="100"/>
      </w:pPr>
      <w:r>
        <w:rPr>
          <w:rFonts w:ascii="Arial" w:cs="Arial" w:eastAsia="Arial" w:hAnsi="Arial"/>
          <w:b w:val="false"/>
          <w:bCs w:val="false"/>
          <w:color w:val="374151"/>
          <w:sz w:val="24"/>
          <w:szCs w:val="24"/>
        </w:rPr>
        <w:t xml:space="preserve">Patient grants HP time-limited consent: SC-2.grantAccess(HP_DID, durationDays) on PDC.</w:t>
      </w:r>
    </w:p>
    <w:p>
      <w:pPr>
        <w:pStyle w:val="ListParagraph"/>
        <w:numPr>
          <w:ilvl w:val="0"/>
          <w:numId w:val="2"/>
        </w:numPr>
        <w:spacing w:before="0" w:after="100"/>
      </w:pPr>
      <w:r>
        <w:rPr>
          <w:rFonts w:ascii="Arial" w:cs="Arial" w:eastAsia="Arial" w:hAnsi="Arial"/>
          <w:b w:val="false"/>
          <w:bCs w:val="false"/>
          <w:color w:val="374151"/>
          <w:sz w:val="24"/>
          <w:szCs w:val="24"/>
        </w:rPr>
        <w:t xml:space="preserve">HP diagnoses patient, creates encrypted MBLOCK: EA(MedicalRecord, keypub_P). Only patient can decrypt.</w:t>
      </w:r>
    </w:p>
    <w:p>
      <w:pPr>
        <w:pStyle w:val="ListParagraph"/>
        <w:numPr>
          <w:ilvl w:val="0"/>
          <w:numId w:val="2"/>
        </w:numPr>
        <w:spacing w:before="0" w:after="100"/>
      </w:pPr>
      <w:r>
        <w:rPr>
          <w:rFonts w:ascii="Arial" w:cs="Arial" w:eastAsia="Arial" w:hAnsi="Arial"/>
          <w:b w:val="false"/>
          <w:bCs w:val="false"/>
          <w:color w:val="374151"/>
          <w:sz w:val="24"/>
          <w:szCs w:val="24"/>
        </w:rPr>
        <w:t xml:space="preserve">HP signs MBLOCK using sanitizable signature scheme and assigns PARS score (0–100).</w:t>
      </w:r>
    </w:p>
    <w:p>
      <w:pPr>
        <w:pStyle w:val="ListParagraph"/>
        <w:numPr>
          <w:ilvl w:val="0"/>
          <w:numId w:val="2"/>
        </w:numPr>
        <w:spacing w:before="0" w:after="100"/>
      </w:pPr>
      <w:r>
        <w:rPr>
          <w:rFonts w:ascii="Arial" w:cs="Arial" w:eastAsia="Arial" w:hAnsi="Arial"/>
          <w:b w:val="false"/>
          <w:bCs w:val="false"/>
          <w:color w:val="374151"/>
          <w:sz w:val="24"/>
          <w:szCs w:val="24"/>
        </w:rPr>
        <w:t xml:space="preserve">HP calls SC-3.addRecord(patient, encryptedDataHash, parsScore, rxHash) on PDC. Miners validate: (a) HP in SC-1; (b) SC-2 consent active; (c) HP signature valid. All three must pass.</w:t>
      </w:r>
    </w:p>
    <w:p>
      <w:pPr>
        <w:pStyle w:val="ListParagraph"/>
        <w:numPr>
          <w:ilvl w:val="0"/>
          <w:numId w:val="2"/>
        </w:numPr>
        <w:spacing w:before="0" w:after="100"/>
      </w:pPr>
      <w:r>
        <w:rPr>
          <w:rFonts w:ascii="Arial" w:cs="Arial" w:eastAsia="Arial" w:hAnsi="Arial"/>
          <w:b w:val="false"/>
          <w:bCs w:val="false"/>
          <w:color w:val="374151"/>
          <w:sz w:val="24"/>
          <w:szCs w:val="24"/>
        </w:rPr>
        <w:t xml:space="preserve">SC-3 automatically calls SC-7.registerHash(rxHash, HP_address) — registering the prescription for cross-chain verification.</w:t>
      </w:r>
    </w:p>
    <w:p>
      <w:pPr>
        <w:pStyle w:val="ListParagraph"/>
        <w:numPr>
          <w:ilvl w:val="0"/>
          <w:numId w:val="2"/>
        </w:numPr>
        <w:spacing w:before="0" w:after="100"/>
      </w:pPr>
      <w:r>
        <w:rPr>
          <w:rFonts w:ascii="Arial" w:cs="Arial" w:eastAsia="Arial" w:hAnsi="Arial"/>
          <w:b w:val="false"/>
          <w:bCs w:val="false"/>
          <w:color w:val="374151"/>
          <w:sz w:val="24"/>
          <w:szCs w:val="24"/>
        </w:rPr>
        <w:t xml:space="preserve">HP calls SC-5.submitOrder(patient, rxHash, parsScore, drugList, warehouse, droneStation) on UOC.</w:t>
      </w:r>
    </w:p>
    <w:p>
      <w:pPr>
        <w:pStyle w:val="ListParagraph"/>
        <w:numPr>
          <w:ilvl w:val="0"/>
          <w:numId w:val="2"/>
        </w:numPr>
        <w:spacing w:before="0" w:after="100"/>
      </w:pPr>
      <w:r>
        <w:rPr>
          <w:rFonts w:ascii="Arial" w:cs="Arial" w:eastAsia="Arial" w:hAnsi="Arial"/>
          <w:b w:val="false"/>
          <w:bCs w:val="false"/>
          <w:color w:val="374151"/>
          <w:sz w:val="24"/>
          <w:szCs w:val="24"/>
        </w:rPr>
        <w:t xml:space="preserve">SC-5 calls SC-7.verifyHash(rxHash) — oracle bridge verifies prescription exists on PDC. Returns VALID. Hash is marked USED (replay prevention).</w:t>
      </w:r>
    </w:p>
    <w:p>
      <w:pPr>
        <w:pStyle w:val="ListParagraph"/>
        <w:numPr>
          <w:ilvl w:val="0"/>
          <w:numId w:val="2"/>
        </w:numPr>
        <w:spacing w:before="0" w:after="100"/>
      </w:pPr>
      <w:r>
        <w:rPr>
          <w:rFonts w:ascii="Arial" w:cs="Arial" w:eastAsia="Arial" w:hAnsi="Arial"/>
          <w:b w:val="false"/>
          <w:bCs w:val="false"/>
          <w:color w:val="374151"/>
          <w:sz w:val="24"/>
          <w:szCs w:val="24"/>
        </w:rPr>
        <w:t xml:space="preserve">SC-5 creates delivery order with SLA deadline based on PARS tier. Drug Warehouse calls SC-5.confirmStock().</w:t>
      </w:r>
    </w:p>
    <w:p>
      <w:pPr>
        <w:pStyle w:val="ListParagraph"/>
        <w:numPr>
          <w:ilvl w:val="0"/>
          <w:numId w:val="2"/>
        </w:numPr>
        <w:spacing w:before="0" w:after="100"/>
      </w:pPr>
      <w:r>
        <w:rPr>
          <w:rFonts w:ascii="Arial" w:cs="Arial" w:eastAsia="Arial" w:hAnsi="Arial"/>
          <w:b w:val="false"/>
          <w:bCs w:val="false"/>
          <w:color w:val="374151"/>
          <w:sz w:val="24"/>
          <w:szCs w:val="24"/>
        </w:rPr>
        <w:t xml:space="preserve">Drone Station opens DCS scoring round: SC-4.openRound(orderId).</w:t>
      </w:r>
    </w:p>
    <w:p>
      <w:pPr>
        <w:pStyle w:val="ListParagraph"/>
        <w:numPr>
          <w:ilvl w:val="0"/>
          <w:numId w:val="2"/>
        </w:numPr>
        <w:spacing w:before="0" w:after="100"/>
      </w:pPr>
      <w:r>
        <w:rPr>
          <w:rFonts w:ascii="Arial" w:cs="Arial" w:eastAsia="Arial" w:hAnsi="Arial"/>
          <w:b w:val="false"/>
          <w:bCs w:val="false"/>
          <w:color w:val="374151"/>
          <w:sz w:val="24"/>
          <w:szCs w:val="24"/>
        </w:rPr>
        <w:t xml:space="preserve">All available UAVs in the zone compute their DCS score locally, encrypt it with keypub_DS, sign with keypri_UAV, and submit to SC-4.</w:t>
      </w:r>
    </w:p>
    <w:p>
      <w:pPr>
        <w:pStyle w:val="ListParagraph"/>
        <w:numPr>
          <w:ilvl w:val="0"/>
          <w:numId w:val="2"/>
        </w:numPr>
        <w:spacing w:before="0" w:after="100"/>
      </w:pPr>
      <w:r>
        <w:rPr>
          <w:rFonts w:ascii="Arial" w:cs="Arial" w:eastAsia="Arial" w:hAnsi="Arial"/>
          <w:b w:val="false"/>
          <w:bCs w:val="false"/>
          <w:color w:val="374151"/>
          <w:sz w:val="24"/>
          <w:szCs w:val="24"/>
        </w:rPr>
        <w:t xml:space="preserve">SC-4 Phase 1: Bloom filter screens submissions — unregistered UAV DIDs dropped in O(1).</w:t>
      </w:r>
    </w:p>
    <w:p>
      <w:pPr>
        <w:pStyle w:val="ListParagraph"/>
        <w:numPr>
          <w:ilvl w:val="0"/>
          <w:numId w:val="2"/>
        </w:numPr>
        <w:spacing w:before="0" w:after="100"/>
      </w:pPr>
      <w:r>
        <w:rPr>
          <w:rFonts w:ascii="Arial" w:cs="Arial" w:eastAsia="Arial" w:hAnsi="Arial"/>
          <w:b w:val="false"/>
          <w:bCs w:val="false"/>
          <w:color w:val="374151"/>
          <w:sz w:val="24"/>
          <w:szCs w:val="24"/>
        </w:rPr>
        <w:t xml:space="preserve">SC-4 Phase 2: Digital signature verification against SC-1 keypub_UAV for all Bloom-passing submissions.</w:t>
      </w:r>
    </w:p>
    <w:p>
      <w:pPr>
        <w:pStyle w:val="ListParagraph"/>
        <w:numPr>
          <w:ilvl w:val="0"/>
          <w:numId w:val="2"/>
        </w:numPr>
        <w:spacing w:before="0" w:after="100"/>
      </w:pPr>
      <w:r>
        <w:rPr>
          <w:rFonts w:ascii="Arial" w:cs="Arial" w:eastAsia="Arial" w:hAnsi="Arial"/>
          <w:b w:val="false"/>
          <w:bCs w:val="false"/>
          <w:color w:val="374151"/>
          <w:sz w:val="24"/>
          <w:szCs w:val="24"/>
        </w:rPr>
        <w:t xml:space="preserve">Drone Station closes round: SC-4.closeRound(). Winner = argmax(verified capability scores). Assigned as υpremium.</w:t>
      </w:r>
    </w:p>
    <w:p>
      <w:pPr>
        <w:pStyle w:val="ListParagraph"/>
        <w:numPr>
          <w:ilvl w:val="0"/>
          <w:numId w:val="2"/>
        </w:numPr>
        <w:spacing w:before="0" w:after="100"/>
      </w:pPr>
      <w:r>
        <w:rPr>
          <w:rFonts w:ascii="Arial" w:cs="Arial" w:eastAsia="Arial" w:hAnsi="Arial"/>
          <w:b w:val="false"/>
          <w:bCs w:val="false"/>
          <w:color w:val="374151"/>
          <w:sz w:val="24"/>
          <w:szCs w:val="24"/>
        </w:rPr>
        <w:t xml:space="preserve">υpremium UAV flies to Drug Warehouse, receives package. DS calls SC-5.assignUAV() and SC-6.createDelivery().</w:t>
      </w:r>
    </w:p>
    <w:p>
      <w:pPr>
        <w:pStyle w:val="ListParagraph"/>
        <w:numPr>
          <w:ilvl w:val="0"/>
          <w:numId w:val="2"/>
        </w:numPr>
        <w:spacing w:before="0" w:after="100"/>
      </w:pPr>
      <w:r>
        <w:rPr>
          <w:rFonts w:ascii="Arial" w:cs="Arial" w:eastAsia="Arial" w:hAnsi="Arial"/>
          <w:b w:val="false"/>
          <w:bCs w:val="false"/>
          <w:color w:val="374151"/>
          <w:sz w:val="24"/>
          <w:szCs w:val="24"/>
        </w:rPr>
        <w:t xml:space="preserve">UAV takes off: SC-6.setInFlight(orderId). GPS streaming begins — UAV uploads coordinates to IPFS every 1 second, calls SC-6.logGPS(orderId, ipfsHash).</w:t>
      </w:r>
    </w:p>
    <w:p>
      <w:pPr>
        <w:pStyle w:val="ListParagraph"/>
        <w:numPr>
          <w:ilvl w:val="0"/>
          <w:numId w:val="2"/>
        </w:numPr>
        <w:spacing w:before="0" w:after="100"/>
      </w:pPr>
      <w:r>
        <w:rPr>
          <w:rFonts w:ascii="Arial" w:cs="Arial" w:eastAsia="Arial" w:hAnsi="Arial"/>
          <w:b w:val="false"/>
          <w:bCs w:val="false"/>
          <w:color w:val="374151"/>
          <w:sz w:val="24"/>
          <w:szCs w:val="24"/>
        </w:rPr>
        <w:t xml:space="preserve">UAV arrives at patient location. Patient calls SC-6.confirmDelivery(orderId) — triggers SC-4.updateReputation(UAV, +5) if on-time, or -5 if late.</w:t>
      </w:r>
    </w:p>
    <w:p>
      <w:pPr>
        <w:pStyle w:val="ListParagraph"/>
        <w:numPr>
          <w:ilvl w:val="0"/>
          <w:numId w:val="2"/>
        </w:numPr>
        <w:spacing w:before="0" w:after="100"/>
      </w:pPr>
      <w:r>
        <w:rPr>
          <w:rFonts w:ascii="Arial" w:cs="Arial" w:eastAsia="Arial" w:hAnsi="Arial"/>
          <w:b w:val="false"/>
          <w:bCs w:val="false"/>
          <w:color w:val="374151"/>
          <w:sz w:val="24"/>
          <w:szCs w:val="24"/>
        </w:rPr>
        <w:t xml:space="preserve">RA can query both chains at any time: SC-3 for MBLOCK records, SC-6 for GPS trails, SC-5 for PARS anomalies, SC-4 for UAV reputation scores.</w:t>
      </w:r>
    </w:p>
    <w:p>
      <w:r>
        <w:br w:type="page"/>
      </w:r>
    </w:p>
    <w:p>
      <w:pPr>
        <w:pStyle w:val="Heading1"/>
        <w:pBdr>
          <w:bottom w:val="single" w:color="2E6DB4" w:sz="4" w:space="4"/>
        </w:pBdr>
        <w:spacing w:before="360" w:after="160"/>
      </w:pPr>
      <w:r>
        <w:rPr>
          <w:rFonts w:ascii="Arial" w:cs="Arial" w:eastAsia="Arial" w:hAnsi="Arial"/>
          <w:b/>
          <w:bCs/>
          <w:color w:val="1A3A6B"/>
          <w:sz w:val="32"/>
          <w:szCs w:val="32"/>
        </w:rPr>
        <w:t xml:space="preserve">5. Smart Contract Design</w:t>
      </w:r>
    </w:p>
    <w:p>
      <w:pPr>
        <w:pStyle w:val="Heading2"/>
        <w:spacing w:before="280" w:after="120"/>
      </w:pPr>
      <w:r>
        <w:rPr>
          <w:rFonts w:ascii="Arial" w:cs="Arial" w:eastAsia="Arial" w:hAnsi="Arial"/>
          <w:b/>
          <w:bCs/>
          <w:color w:val="2E6DB4"/>
          <w:sz w:val="28"/>
          <w:szCs w:val="28"/>
        </w:rPr>
        <w:t xml:space="preserve">5.1 Design Principles</w:t>
      </w:r>
    </w:p>
    <w:p>
      <w:pPr>
        <w:spacing w:before="0" w:after="160"/>
        <w:jc w:val="both"/>
      </w:pPr>
      <w:r>
        <w:rPr>
          <w:rFonts w:ascii="Arial" w:cs="Arial" w:eastAsia="Arial" w:hAnsi="Arial"/>
          <w:b w:val="false"/>
          <w:bCs w:val="false"/>
          <w:i w:val="false"/>
          <w:iCs w:val="false"/>
          <w:color w:val="374151"/>
          <w:sz w:val="24"/>
          <w:szCs w:val="24"/>
        </w:rPr>
        <w:t xml:space="preserve">All seven DCBA smart contracts are implemented in Solidity ^0.8.0 and adhere to four design principles. First, minimality: each contract has a single, clearly defined responsibility and delegates out-of-scope concerns to other contracts. Second, fail-fast validation: all input preconditions are checked at the entry point of every function using require() statements with descriptive error messages, so invalid transactions revert immediately without consuming state. Third, event-driven transparency: every significant state change emits a corresponding event, providing an indexed, queryable audit trail for off-chain monitoring tools and the Regulatory Auditor. Fourth, immutable dependency injection: inter-contract addresses are passed at construction time and cannot be changed, preventing administrative substitution attacks where a malicious TA replaces a contract with a compromised version.</w:t>
      </w:r>
    </w:p>
    <w:p>
      <w:pPr>
        <w:pStyle w:val="Heading2"/>
        <w:spacing w:before="280" w:after="120"/>
      </w:pPr>
      <w:r>
        <w:rPr>
          <w:rFonts w:ascii="Arial" w:cs="Arial" w:eastAsia="Arial" w:hAnsi="Arial"/>
          <w:b/>
          <w:bCs/>
          <w:color w:val="2E6DB4"/>
          <w:sz w:val="28"/>
          <w:szCs w:val="28"/>
        </w:rPr>
        <w:t xml:space="preserve">5.2 SC-1: Identity Registry</w:t>
      </w:r>
    </w:p>
    <w:p>
      <w:pPr>
        <w:spacing w:before="0" w:after="160"/>
        <w:jc w:val="both"/>
      </w:pPr>
      <w:r>
        <w:rPr>
          <w:rFonts w:ascii="Arial" w:cs="Arial" w:eastAsia="Arial" w:hAnsi="Arial"/>
          <w:b w:val="false"/>
          <w:bCs w:val="false"/>
          <w:i w:val="false"/>
          <w:iCs w:val="false"/>
          <w:color w:val="374151"/>
          <w:sz w:val="24"/>
          <w:szCs w:val="24"/>
        </w:rPr>
        <w:t xml:space="preserve">SC-1 is the identity backbone of the entire system, deployed identically on both PDC and UOC. It stores a mapping from Ethereum addresses to Actor structs containing role, public key hash, active status, and registration timestamp. The TA account that deploys SC-1 becomes the sole authority for registration and revocation operations. The isActive(address) function is a pure read operation called on every transaction by all other contracts — it is the single most-called function in the system and is therefore optimised for minimal gas cost.</w:t>
      </w:r>
    </w:p>
    <w:p>
      <w:pPr>
        <w:spacing w:before="0" w:after="160"/>
        <w:jc w:val="both"/>
      </w:pPr>
      <w:r>
        <w:rPr>
          <w:rFonts w:ascii="Arial" w:cs="Arial" w:eastAsia="Arial" w:hAnsi="Arial"/>
          <w:b w:val="false"/>
          <w:bCs w:val="false"/>
          <w:i w:val="false"/>
          <w:iCs w:val="false"/>
          <w:color w:val="374151"/>
          <w:sz w:val="24"/>
          <w:szCs w:val="24"/>
        </w:rPr>
        <w:t xml:space="preserve">Revocation is immediate and irreversible in the current implementation: once revoked, an actor address is permanently excluded from all contract interactions. This design choice prioritises security over convenience — a revoked credential cannot be 'accidentally' re-enabled by a lower-privileged administrator. For credential rotation (e.g., when a Healthcare Provider changes their wallet address), the TA revokes the old address and registers a new one.</w:t>
      </w:r>
    </w:p>
    <w:p>
      <w:pPr>
        <w:pStyle w:val="Heading2"/>
        <w:spacing w:before="280" w:after="120"/>
      </w:pPr>
      <w:r>
        <w:rPr>
          <w:rFonts w:ascii="Arial" w:cs="Arial" w:eastAsia="Arial" w:hAnsi="Arial"/>
          <w:b/>
          <w:bCs/>
          <w:color w:val="2E6DB4"/>
          <w:sz w:val="28"/>
          <w:szCs w:val="28"/>
        </w:rPr>
        <w:t xml:space="preserve">5.3 SC-2: Patient Consent Manager</w:t>
      </w:r>
    </w:p>
    <w:p>
      <w:pPr>
        <w:spacing w:before="0" w:after="160"/>
        <w:jc w:val="both"/>
      </w:pPr>
      <w:r>
        <w:rPr>
          <w:rFonts w:ascii="Arial" w:cs="Arial" w:eastAsia="Arial" w:hAnsi="Arial"/>
          <w:b w:val="false"/>
          <w:bCs w:val="false"/>
          <w:i w:val="false"/>
          <w:iCs w:val="false"/>
          <w:color w:val="374151"/>
          <w:sz w:val="24"/>
          <w:szCs w:val="24"/>
        </w:rPr>
        <w:t xml:space="preserve">SC-2 implements the patient data sovereignty principle at the smart contract level. The consent model uses a two-dimensional mapping: consents[patientAddress][hpAddress] → ConsentToken. A ConsentToken stores the active flag, grant timestamp, and optional expiry timestamp. When durationDays is passed as zero, the token never auto-expires and must be manually revoked.</w:t>
      </w:r>
    </w:p>
    <w:p>
      <w:pPr>
        <w:spacing w:before="0" w:after="160"/>
        <w:jc w:val="both"/>
      </w:pPr>
      <w:r>
        <w:rPr>
          <w:rFonts w:ascii="Arial" w:cs="Arial" w:eastAsia="Arial" w:hAnsi="Arial"/>
          <w:b w:val="false"/>
          <w:bCs w:val="false"/>
          <w:i w:val="false"/>
          <w:iCs w:val="false"/>
          <w:color w:val="374151"/>
          <w:sz w:val="24"/>
          <w:szCs w:val="24"/>
        </w:rPr>
        <w:t xml:space="preserve">The hasAccess(hp, patient) function is called by SC-3 before every MBLOCK write. It checks both the active flag and the expiry condition atomically, preventing time-of-check to time-of-use (TOCTOU) vulnerabilities inherent in non-atomic access control schemes. The function is read-only (view), imposing no gas cost on callers.</w:t>
      </w:r>
    </w:p>
    <w:p>
      <w:pPr>
        <w:pStyle w:val="Heading2"/>
        <w:spacing w:before="280" w:after="120"/>
      </w:pPr>
      <w:r>
        <w:rPr>
          <w:rFonts w:ascii="Arial" w:cs="Arial" w:eastAsia="Arial" w:hAnsi="Arial"/>
          <w:b/>
          <w:bCs/>
          <w:color w:val="2E6DB4"/>
          <w:sz w:val="28"/>
          <w:szCs w:val="28"/>
        </w:rPr>
        <w:t xml:space="preserve">5.4 SC-3: Medical Records (MBLOCK Store)</w:t>
      </w:r>
    </w:p>
    <w:p>
      <w:pPr>
        <w:spacing w:before="0" w:after="160"/>
        <w:jc w:val="both"/>
      </w:pPr>
      <w:r>
        <w:rPr>
          <w:rFonts w:ascii="Arial" w:cs="Arial" w:eastAsia="Arial" w:hAnsi="Arial"/>
          <w:b w:val="false"/>
          <w:bCs w:val="false"/>
          <w:i w:val="false"/>
          <w:iCs w:val="false"/>
          <w:color w:val="374151"/>
          <w:sz w:val="24"/>
          <w:szCs w:val="24"/>
        </w:rPr>
        <w:t xml:space="preserve">SC-3 is the primary data contract of the PDC. It stores MedicalRecord structs containing the HP address, patient address, encrypted data IPFS hash, PARS score, prescription hash (rxHash), and timestamp. Critically, SC-3 does not store raw medical data — it stores the IPFS content hash of data that has been encrypted off-chain with the patient's public key before upload. This design ensures that even if the blockchain's transaction history is fully inspected, medical content remains opaque to all parties without the patient's private key.</w:t>
      </w:r>
    </w:p>
    <w:p>
      <w:pPr>
        <w:spacing w:before="0" w:after="160"/>
        <w:jc w:val="both"/>
      </w:pPr>
      <w:r>
        <w:rPr>
          <w:rFonts w:ascii="Arial" w:cs="Arial" w:eastAsia="Arial" w:hAnsi="Arial"/>
          <w:b w:val="false"/>
          <w:bCs w:val="false"/>
          <w:i w:val="false"/>
          <w:iCs w:val="false"/>
          <w:color w:val="374151"/>
          <w:sz w:val="24"/>
          <w:szCs w:val="24"/>
        </w:rPr>
        <w:t xml:space="preserve">The triple validation gate in addRecord() — SC-1 identity check, SC-2 consent check, and HP signature validation — is enforced atomically within the same transaction. All three must pass, or the entire transaction reverts. After successful validation and storage, SC-3 automatically calls SC-7.registerHash(rxHash, msg.sender) in the same transaction, atomically linking prescription registration on PDC with oracle availability on UOC. This atomicity is critical: it is impossible for a record to exist in SC-3 without its corresponding rxHash being available in SC-7.</w:t>
      </w:r>
    </w:p>
    <w:p>
      <w:pPr>
        <w:pStyle w:val="Heading2"/>
        <w:spacing w:before="280" w:after="120"/>
      </w:pPr>
      <w:r>
        <w:rPr>
          <w:rFonts w:ascii="Arial" w:cs="Arial" w:eastAsia="Arial" w:hAnsi="Arial"/>
          <w:b/>
          <w:bCs/>
          <w:color w:val="2E6DB4"/>
          <w:sz w:val="28"/>
          <w:szCs w:val="28"/>
        </w:rPr>
        <w:t xml:space="preserve">5.5 SC-4: DCS UAV Scoring</w:t>
      </w:r>
    </w:p>
    <w:p>
      <w:pPr>
        <w:spacing w:before="0" w:after="160"/>
        <w:jc w:val="both"/>
      </w:pPr>
      <w:r>
        <w:rPr>
          <w:rFonts w:ascii="Arial" w:cs="Arial" w:eastAsia="Arial" w:hAnsi="Arial"/>
          <w:b w:val="false"/>
          <w:bCs w:val="false"/>
          <w:i w:val="false"/>
          <w:iCs w:val="false"/>
          <w:color w:val="374151"/>
          <w:sz w:val="24"/>
          <w:szCs w:val="24"/>
        </w:rPr>
        <w:t xml:space="preserve">SC-4 implements the complete DCS scoring lifecycle. A ScoringRound struct tracks the associated order ID, the Drone Station that opened the round, the open/closed status, the winner address, and the winning score. UAV score submissions are stored per-round per-UAV to prevent double-submission from the same device.</w:t>
      </w:r>
    </w:p>
    <w:p>
      <w:pPr>
        <w:spacing w:before="0" w:after="160"/>
        <w:jc w:val="both"/>
      </w:pPr>
      <w:r>
        <w:rPr>
          <w:rFonts w:ascii="Arial" w:cs="Arial" w:eastAsia="Arial" w:hAnsi="Arial"/>
          <w:b w:val="false"/>
          <w:bCs w:val="false"/>
          <w:i w:val="false"/>
          <w:iCs w:val="false"/>
          <w:color w:val="374151"/>
          <w:sz w:val="24"/>
          <w:szCs w:val="24"/>
        </w:rPr>
        <w:t xml:space="preserve">The computeScore() function implements the weighted DCS formula: cs = (speed×30 + payload×25 + battery×20 + CPU×15 + RAM×10) / 100. All weights sum to 100, producing a normalised score in [0, 100]. The function is declared pure — it takes no blockchain state as input and can be called off-chain by UAVs to pre-compute their scores before submission.</w:t>
      </w:r>
    </w:p>
    <w:p>
      <w:pPr>
        <w:spacing w:before="0" w:after="160"/>
        <w:jc w:val="both"/>
      </w:pPr>
      <w:r>
        <w:rPr>
          <w:rFonts w:ascii="Arial" w:cs="Arial" w:eastAsia="Arial" w:hAnsi="Arial"/>
          <w:b w:val="false"/>
          <w:bCs w:val="false"/>
          <w:i w:val="false"/>
          <w:iCs w:val="false"/>
          <w:color w:val="374151"/>
          <w:sz w:val="24"/>
          <w:szCs w:val="24"/>
        </w:rPr>
        <w:t xml:space="preserve">The closeRound() function iterates over the participants array to find the argmax score. For a fleet of 100 UAVs, this iteration is O(n) in the number of participants, contributing to the total DCS round time. The Bloom filter pre-screening in Phase 1 reduces the effective n before Phase 2 digital signature verification and the eventual argmax computation, keeping total round time under 140 milliseconds.</w:t>
      </w:r>
    </w:p>
    <w:p>
      <w:pPr>
        <w:spacing w:before="0" w:after="160"/>
        <w:jc w:val="both"/>
      </w:pPr>
      <w:r>
        <w:rPr>
          <w:rFonts w:ascii="Arial" w:cs="Arial" w:eastAsia="Arial" w:hAnsi="Arial"/>
          <w:b w:val="false"/>
          <w:bCs w:val="false"/>
          <w:i w:val="false"/>
          <w:iCs w:val="false"/>
          <w:color w:val="374151"/>
          <w:sz w:val="24"/>
          <w:szCs w:val="24"/>
        </w:rPr>
        <w:t xml:space="preserve">The updateReputation() function adjusts an address's reputation score by a signed integer delta, allowing Drone Stations to record both positive (on-time delivery) and negative (route deviation, late arrival) outcomes. This persistent reputation signal can be incorporated into future DCS weight calculations, creating a learning feedback loop between UAV performance history and future selection priority.</w:t>
      </w:r>
    </w:p>
    <w:p>
      <w:pPr>
        <w:pStyle w:val="Heading2"/>
        <w:spacing w:before="280" w:after="120"/>
      </w:pPr>
      <w:r>
        <w:rPr>
          <w:rFonts w:ascii="Arial" w:cs="Arial" w:eastAsia="Arial" w:hAnsi="Arial"/>
          <w:b/>
          <w:bCs/>
          <w:color w:val="2E6DB4"/>
          <w:sz w:val="28"/>
          <w:szCs w:val="28"/>
        </w:rPr>
        <w:t xml:space="preserve">5.6 SC-5: Delivery Orders and PARS Queue</w:t>
      </w:r>
    </w:p>
    <w:p>
      <w:pPr>
        <w:spacing w:before="0" w:after="160"/>
        <w:jc w:val="both"/>
      </w:pPr>
      <w:r>
        <w:rPr>
          <w:rFonts w:ascii="Arial" w:cs="Arial" w:eastAsia="Arial" w:hAnsi="Arial"/>
          <w:b w:val="false"/>
          <w:bCs w:val="false"/>
          <w:i w:val="false"/>
          <w:iCs w:val="false"/>
          <w:color w:val="374151"/>
          <w:sz w:val="24"/>
          <w:szCs w:val="24"/>
        </w:rPr>
        <w:t xml:space="preserve">SC-5 is the operational coordinator of the UOC. Its submitOrder() function encapsulates the critical business logic: it calls SC-7.verifyHash() in the same transaction as order creation, ensuring that an order can only exist if its underlying prescription has been authenticated. The SLA deadline is computed deterministically from the PARS score using getSLASeconds(): CRITICAL (score ≥ 90) maps to 180 seconds, HIGH (score ≥ 70) to 600 seconds, MODERATE (score ≥ 40) to 1800 seconds, and LOW to 7200 seconds. These deadlines are stored in the DeliveryOrder struct and checked by SC-6 at delivery confirmation.</w:t>
      </w:r>
    </w:p>
    <w:p>
      <w:pPr>
        <w:spacing w:before="0" w:after="160"/>
        <w:jc w:val="both"/>
      </w:pPr>
      <w:r>
        <w:rPr>
          <w:rFonts w:ascii="Arial" w:cs="Arial" w:eastAsia="Arial" w:hAnsi="Arial"/>
          <w:b w:val="false"/>
          <w:bCs w:val="false"/>
          <w:i w:val="false"/>
          <w:iCs w:val="false"/>
          <w:color w:val="374151"/>
          <w:sz w:val="24"/>
          <w:szCs w:val="24"/>
        </w:rPr>
        <w:t xml:space="preserve">The confirmStock() function enforces warehouse accountability: only the specific warehouse address assigned at order creation can confirm stock availability. This prevents a different warehouse from hijacking an order and potentially substituting different medications. Similarly, assignUAV() is restricted to the assigned Drone Station, ensuring that the UAV assignment authority cannot be exercised by an unaffiliated party.</w:t>
      </w:r>
    </w:p>
    <w:p>
      <w:pPr>
        <w:pStyle w:val="Heading2"/>
        <w:spacing w:before="280" w:after="120"/>
      </w:pPr>
      <w:r>
        <w:rPr>
          <w:rFonts w:ascii="Arial" w:cs="Arial" w:eastAsia="Arial" w:hAnsi="Arial"/>
          <w:b/>
          <w:bCs/>
          <w:color w:val="2E6DB4"/>
          <w:sz w:val="28"/>
          <w:szCs w:val="28"/>
        </w:rPr>
        <w:t xml:space="preserve">5.7 SC-6: Delivery Lifecycle Manager</w:t>
      </w:r>
    </w:p>
    <w:p>
      <w:pPr>
        <w:spacing w:before="0" w:after="160"/>
        <w:jc w:val="both"/>
      </w:pPr>
      <w:r>
        <w:rPr>
          <w:rFonts w:ascii="Arial" w:cs="Arial" w:eastAsia="Arial" w:hAnsi="Arial"/>
          <w:b w:val="false"/>
          <w:bCs w:val="false"/>
          <w:i w:val="false"/>
          <w:iCs w:val="false"/>
          <w:color w:val="374151"/>
          <w:sz w:val="24"/>
          <w:szCs w:val="24"/>
        </w:rPr>
        <w:t xml:space="preserve">SC-6 implements the delivery state machine with six possible states: PENDING, CONFIRMED, DISPATCHED, IN_FLIGHT, DELIVERED, DEVIATED, and FAILED. State transitions are access-controlled: only the assigned UAV can call setInFlight() and logGPS(); only the assigned Drone Station can call createDelivery() and flagDeviation(); only the target patient can call confirmDelivery().</w:t>
      </w:r>
    </w:p>
    <w:p>
      <w:pPr>
        <w:spacing w:before="0" w:after="160"/>
        <w:jc w:val="both"/>
      </w:pPr>
      <w:r>
        <w:rPr>
          <w:rFonts w:ascii="Arial" w:cs="Arial" w:eastAsia="Arial" w:hAnsi="Arial"/>
          <w:b w:val="false"/>
          <w:bCs w:val="false"/>
          <w:i w:val="false"/>
          <w:iCs w:val="false"/>
          <w:color w:val="374151"/>
          <w:sz w:val="24"/>
          <w:szCs w:val="24"/>
        </w:rPr>
        <w:t xml:space="preserve">The logGPS() function accepts an IPFS content hash string representing the UAV's current GPS coordinates. In the complete system implementation, the UAV runs an off-chain process that: (1) formats current GPS coordinates as JSON; (2) uploads the JSON to a local or public IPFS node; (3) receives the content hash (e.g., QmXyz...); and (4) calls SC-6.logGPS(orderId, 'QmXyz...'). The on-chain GPS log thus forms a Merkle-linked chain of IPFS hashes, each pointing to a GPS reading. This trail is retrievable by the RA through the getGPSLog() function, which returns parallel arrays of IPFS hashes and timestamps.</w:t>
      </w:r>
    </w:p>
    <w:p>
      <w:pPr>
        <w:spacing w:before="0" w:after="160"/>
        <w:jc w:val="both"/>
      </w:pPr>
      <w:r>
        <w:rPr>
          <w:rFonts w:ascii="Arial" w:cs="Arial" w:eastAsia="Arial" w:hAnsi="Arial"/>
          <w:b w:val="false"/>
          <w:bCs w:val="false"/>
          <w:i w:val="false"/>
          <w:iCs w:val="false"/>
          <w:color w:val="374151"/>
          <w:sz w:val="24"/>
          <w:szCs w:val="24"/>
        </w:rPr>
        <w:t xml:space="preserve">The flagDeviation() function, called by the Drone Station on anomaly detection, immediately penalises the responsible UAV's reputation in SC-4 by -10 points and transitions the order to DEVIATED state, signalling that a new DCS round must be triggered to assign a replacement UAV.</w:t>
      </w:r>
    </w:p>
    <w:p>
      <w:pPr>
        <w:pStyle w:val="Heading2"/>
        <w:spacing w:before="280" w:after="120"/>
      </w:pPr>
      <w:r>
        <w:rPr>
          <w:rFonts w:ascii="Arial" w:cs="Arial" w:eastAsia="Arial" w:hAnsi="Arial"/>
          <w:b/>
          <w:bCs/>
          <w:color w:val="2E6DB4"/>
          <w:sz w:val="28"/>
          <w:szCs w:val="28"/>
        </w:rPr>
        <w:t xml:space="preserve">5.8 SC-7: Cross-Chain Oracle Bridge</w:t>
      </w:r>
    </w:p>
    <w:p>
      <w:pPr>
        <w:spacing w:before="0" w:after="160"/>
        <w:jc w:val="both"/>
      </w:pPr>
      <w:r>
        <w:rPr>
          <w:rFonts w:ascii="Arial" w:cs="Arial" w:eastAsia="Arial" w:hAnsi="Arial"/>
          <w:b w:val="false"/>
          <w:bCs w:val="false"/>
          <w:i w:val="false"/>
          <w:iCs w:val="false"/>
          <w:color w:val="374151"/>
          <w:sz w:val="24"/>
          <w:szCs w:val="24"/>
        </w:rPr>
        <w:t xml:space="preserve">SC-7 is the most architecturally critical contract in DCBA. Its register-verify-mark-used pattern implements the core security guarantee: each prescription can authorise exactly one delivery, preventing the same valid prescription from being used to order drugs multiple times (prescription replay attack).</w:t>
      </w:r>
    </w:p>
    <w:p>
      <w:pPr>
        <w:spacing w:before="0" w:after="160"/>
        <w:jc w:val="both"/>
      </w:pPr>
      <w:r>
        <w:rPr>
          <w:rFonts w:ascii="Arial" w:cs="Arial" w:eastAsia="Arial" w:hAnsi="Arial"/>
          <w:b w:val="false"/>
          <w:bCs w:val="false"/>
          <w:i w:val="false"/>
          <w:iCs w:val="false"/>
          <w:color w:val="374151"/>
          <w:sz w:val="24"/>
          <w:szCs w:val="24"/>
        </w:rPr>
        <w:t xml:space="preserve">The HashStatus enumeration has three values: PENDING (hash not yet registered), VALID (registered by SC-3, available for one verification), and USED (already verified by SC-5 — no longer available). The verifyHash() function atomically checks the status and transitions VALID → USED in a single transaction, eliminating the TOCTOU window that would exist if checking and updating were separate operations.</w:t>
      </w:r>
    </w:p>
    <w:p>
      <w:pPr>
        <w:spacing w:before="0" w:after="160"/>
        <w:jc w:val="both"/>
      </w:pPr>
      <w:r>
        <w:rPr>
          <w:rFonts w:ascii="Arial" w:cs="Arial" w:eastAsia="Arial" w:hAnsi="Arial"/>
          <w:b w:val="false"/>
          <w:bCs w:val="false"/>
          <w:i w:val="false"/>
          <w:iCs w:val="false"/>
          <w:color w:val="374151"/>
          <w:sz w:val="24"/>
          <w:szCs w:val="24"/>
        </w:rPr>
        <w:t xml:space="preserve">The setSC3Address() function, callable only by the TA, restricts registerHash() calls to the SC-3 contract address. This ensures that only prescriptions legitimately written through the triple-validated SC-3 addRecord() flow can register rxHashes in SC-7 — a malicious actor cannot directly call SC-7.registerHash() to inject fake prescription records into the oracle.</w:t>
      </w:r>
    </w:p>
    <w:p>
      <w:r>
        <w:br w:type="page"/>
      </w:r>
    </w:p>
    <w:p>
      <w:pPr>
        <w:pStyle w:val="Heading1"/>
        <w:pBdr>
          <w:bottom w:val="single" w:color="2E6DB4" w:sz="4" w:space="4"/>
        </w:pBdr>
        <w:spacing w:before="360" w:after="160"/>
      </w:pPr>
      <w:r>
        <w:rPr>
          <w:rFonts w:ascii="Arial" w:cs="Arial" w:eastAsia="Arial" w:hAnsi="Arial"/>
          <w:b/>
          <w:bCs/>
          <w:color w:val="1A3A6B"/>
          <w:sz w:val="32"/>
          <w:szCs w:val="32"/>
        </w:rPr>
        <w:t xml:space="preserve">6. Core Algorithms and Mechanisms</w:t>
      </w:r>
    </w:p>
    <w:p>
      <w:pPr>
        <w:pStyle w:val="Heading2"/>
        <w:spacing w:before="280" w:after="120"/>
      </w:pPr>
      <w:r>
        <w:rPr>
          <w:rFonts w:ascii="Arial" w:cs="Arial" w:eastAsia="Arial" w:hAnsi="Arial"/>
          <w:b/>
          <w:bCs/>
          <w:color w:val="2E6DB4"/>
          <w:sz w:val="28"/>
          <w:szCs w:val="28"/>
        </w:rPr>
        <w:t xml:space="preserve">6.1 Drone Capability Score (DCS) Algorithm</w:t>
      </w:r>
    </w:p>
    <w:p>
      <w:pPr>
        <w:pStyle w:val="Heading3"/>
        <w:spacing w:before="200" w:after="80"/>
      </w:pPr>
      <w:r>
        <w:rPr>
          <w:rFonts w:ascii="Arial" w:cs="Arial" w:eastAsia="Arial" w:hAnsi="Arial"/>
          <w:b/>
          <w:bCs/>
          <w:color w:val="0E7490"/>
          <w:sz w:val="24"/>
          <w:szCs w:val="24"/>
        </w:rPr>
        <w:t xml:space="preserve">6.1.1 Score Computation</w:t>
      </w:r>
    </w:p>
    <w:p>
      <w:pPr>
        <w:spacing w:before="0" w:after="160"/>
        <w:jc w:val="both"/>
      </w:pPr>
      <w:r>
        <w:rPr>
          <w:rFonts w:ascii="Arial" w:cs="Arial" w:eastAsia="Arial" w:hAnsi="Arial"/>
          <w:b w:val="false"/>
          <w:bCs w:val="false"/>
          <w:i w:val="false"/>
          <w:iCs w:val="false"/>
          <w:color w:val="374151"/>
          <w:sz w:val="24"/>
          <w:szCs w:val="24"/>
        </w:rPr>
        <w:t xml:space="preserve">The Drone Capability Score is a weighted linear combination of five operational metrics normalised to the range [0,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DF4" w:val="clear"/>
            <w:tcMar>
              <w:top w:type="dxa" w:w="120"/>
              <w:left w:type="dxa" w:w="200"/>
              <w:bottom w:type="dxa" w:w="120"/>
              <w:right w:type="dxa" w:w="200"/>
            </w:tcMar>
          </w:tcPr>
          <w:p>
            <w:pPr>
              <w:spacing w:before="0" w:after="80"/>
            </w:pPr>
            <w:r>
              <w:rPr>
                <w:rFonts w:ascii="Arial" w:cs="Arial" w:eastAsia="Arial" w:hAnsi="Arial"/>
                <w:b/>
                <w:bCs/>
                <w:color w:val="0E7490"/>
                <w:sz w:val="22"/>
                <w:szCs w:val="22"/>
              </w:rPr>
              <w:t xml:space="preserve">DCS Formula</w:t>
            </w:r>
          </w:p>
          <w:p>
            <w:pPr>
              <w:spacing w:before="0" w:after="0"/>
              <w:jc w:val="both"/>
            </w:pPr>
            <w:r>
              <w:rPr>
                <w:rFonts w:ascii="Arial" w:cs="Arial" w:eastAsia="Arial" w:hAnsi="Arial"/>
                <w:color w:val="374151"/>
                <w:sz w:val="22"/>
                <w:szCs w:val="22"/>
              </w:rPr>
              <w:t xml:space="preserve">cs = ω₁·νmax + ω₂·ρcap + ω₃·βpow + ω₄·CPU + ω₅·RAM + Σωᵢ·Oᵢ
where: νmax = maximum flight speed (normalised), ρcap = payload capacity (normalised), βpow = battery level, CPU = CPU availability (1 − utilisation), RAM = RAM availability (1 − utilisation), Oᵢ = optional operational parameters, and weights: ω₁=0.30, ω₂=0.25, ω₃=0.20, ω₄=0.15, ω₅=0.10, Σωᵢ=1.00.</w:t>
            </w:r>
          </w:p>
        </w:tc>
      </w:tr>
    </w:tbl>
    <w:p>
      <w:pPr>
        <w:spacing w:before="0" w:after="160"/>
        <w:jc w:val="both"/>
      </w:pPr>
      <w:r>
        <w:rPr>
          <w:rFonts w:ascii="Arial" w:cs="Arial" w:eastAsia="Arial" w:hAnsi="Arial"/>
          <w:b w:val="false"/>
          <w:bCs w:val="false"/>
          <w:i w:val="false"/>
          <w:iCs w:val="false"/>
          <w:color w:val="374151"/>
          <w:sz w:val="24"/>
          <w:szCs w:val="24"/>
        </w:rPr>
        <w:t xml:space="preserve">The weight assignment reflects the relative importance of each metric for pharmaceutical delivery: flight speed (0.30) is weighted most heavily because delivery time is the primary determinant of patient outcome, particularly for CRITICAL-tier medications. Payload capacity (0.25) is second because pharmaceutical packages span a wide range from a single insulin pen to a multi-drug oncology kit. Battery level (0.20) prevents the selection of a UAV that may not complete the round trip. CPU (0.15) and RAM (0.10) availability ensure the UAV can handle in-flight computation including GPS processing, communication protocols, and deviation detection algorithms.</w:t>
      </w:r>
    </w:p>
    <w:p>
      <w:pPr>
        <w:pStyle w:val="Heading3"/>
        <w:spacing w:before="200" w:after="80"/>
      </w:pPr>
      <w:r>
        <w:rPr>
          <w:rFonts w:ascii="Arial" w:cs="Arial" w:eastAsia="Arial" w:hAnsi="Arial"/>
          <w:b/>
          <w:bCs/>
          <w:color w:val="0E7490"/>
          <w:sz w:val="24"/>
          <w:szCs w:val="24"/>
        </w:rPr>
        <w:t xml:space="preserve">6.1.2 Two-Phase Verification Protocol</w:t>
      </w:r>
    </w:p>
    <w:p>
      <w:pPr>
        <w:spacing w:before="0" w:after="160"/>
        <w:jc w:val="both"/>
      </w:pPr>
      <w:r>
        <w:rPr>
          <w:rFonts w:ascii="Arial" w:cs="Arial" w:eastAsia="Arial" w:hAnsi="Arial"/>
          <w:b w:val="false"/>
          <w:bCs w:val="false"/>
          <w:i w:val="false"/>
          <w:iCs w:val="false"/>
          <w:color w:val="374151"/>
          <w:sz w:val="24"/>
          <w:szCs w:val="24"/>
        </w:rPr>
        <w:t xml:space="preserve">Raw DCS scores are never submitted in plaintext. Before submission, each UAV encrypts its score with the Drone Station's public key and signs the ciphertext with its own private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DF4" w:val="clear"/>
            <w:tcMar>
              <w:top w:type="dxa" w:w="120"/>
              <w:left w:type="dxa" w:w="200"/>
              <w:bottom w:type="dxa" w:w="120"/>
              <w:right w:type="dxa" w:w="200"/>
            </w:tcMar>
          </w:tcPr>
          <w:p>
            <w:pPr>
              <w:spacing w:before="0" w:after="80"/>
            </w:pPr>
            <w:r>
              <w:rPr>
                <w:rFonts w:ascii="Arial" w:cs="Arial" w:eastAsia="Arial" w:hAnsi="Arial"/>
                <w:b/>
                <w:bCs/>
                <w:color w:val="0E7490"/>
                <w:sz w:val="22"/>
                <w:szCs w:val="22"/>
              </w:rPr>
              <w:t xml:space="preserve">DCS Encryption and Signing</w:t>
            </w:r>
          </w:p>
          <w:p>
            <w:pPr>
              <w:spacing w:before="0" w:after="0"/>
              <w:jc w:val="both"/>
            </w:pPr>
            <w:r>
              <w:rPr>
                <w:rFonts w:ascii="Arial" w:cs="Arial" w:eastAsia="Arial" w:hAnsi="Arial"/>
                <w:color w:val="374151"/>
                <w:sz w:val="22"/>
                <w:szCs w:val="22"/>
              </w:rPr>
              <w:t xml:space="preserve">εs = Enc(cs, keypub_DS)    // asymmetric encryption — only DS can decrypt
σ = Sign(εs, keypri_UAV)   // digital signature — proves source authenticity
Submit: SC-4.submitScore(roundId, εs, σ)</w:t>
            </w:r>
          </w:p>
        </w:tc>
      </w:tr>
    </w:tbl>
    <w:p>
      <w:pPr>
        <w:spacing w:before="0" w:after="160"/>
        <w:jc w:val="both"/>
      </w:pPr>
      <w:r>
        <w:rPr>
          <w:rFonts w:ascii="Arial" w:cs="Arial" w:eastAsia="Arial" w:hAnsi="Arial"/>
          <w:b w:val="false"/>
          <w:bCs w:val="false"/>
          <w:i w:val="false"/>
          <w:iCs w:val="false"/>
          <w:color w:val="374151"/>
          <w:sz w:val="24"/>
          <w:szCs w:val="24"/>
        </w:rPr>
        <w:t xml:space="preserve">Phase 1 — Bloom Filter Screening: SC-4 checks the Bloom filter for the submitting UAV's DID. Submissions from DIDs not present in the filter are dropped in O(1) constant time. This eliminates obviously unregistered UAVs before the computationally more expensive signature verification step.</w:t>
      </w:r>
    </w:p>
    <w:p>
      <w:pPr>
        <w:spacing w:before="0" w:after="160"/>
        <w:jc w:val="both"/>
      </w:pPr>
      <w:r>
        <w:rPr>
          <w:rFonts w:ascii="Arial" w:cs="Arial" w:eastAsia="Arial" w:hAnsi="Arial"/>
          <w:b w:val="false"/>
          <w:bCs w:val="false"/>
          <w:i w:val="false"/>
          <w:iCs w:val="false"/>
          <w:color w:val="374151"/>
          <w:sz w:val="24"/>
          <w:szCs w:val="24"/>
        </w:rPr>
        <w:t xml:space="preserve">Phase 2 — Digital Signature Verification: For submissions that pass the Bloom filter, SC-4 retrieves the UAV's public key hash from SC-1 and verifies the signature σ over εs. Submissions with invalid signatures are rejected. Only verified ciphertexts proceed to decryption.</w:t>
      </w:r>
    </w:p>
    <w:p>
      <w:pPr>
        <w:spacing w:before="0" w:after="160"/>
        <w:jc w:val="both"/>
      </w:pPr>
      <w:r>
        <w:rPr>
          <w:rFonts w:ascii="Arial" w:cs="Arial" w:eastAsia="Arial" w:hAnsi="Arial"/>
          <w:b w:val="false"/>
          <w:bCs w:val="false"/>
          <w:i w:val="false"/>
          <w:iCs w:val="false"/>
          <w:color w:val="374151"/>
          <w:sz w:val="24"/>
          <w:szCs w:val="24"/>
        </w:rPr>
        <w:t xml:space="preserve">Decryption and Role Assignment: The Drone Station decrypts all verified εs values using keypri_DS, obtaining plaintext scores. SC-4 sorts the verified scores and assigns υpremium = argmax(verified scores). All other participating UAVs become υnormal, available for normal deliveries in the zone.</w:t>
      </w:r>
    </w:p>
    <w:p>
      <w:pPr>
        <w:pStyle w:val="Heading2"/>
        <w:spacing w:before="280" w:after="120"/>
      </w:pPr>
      <w:r>
        <w:rPr>
          <w:rFonts w:ascii="Arial" w:cs="Arial" w:eastAsia="Arial" w:hAnsi="Arial"/>
          <w:b/>
          <w:bCs/>
          <w:color w:val="2E6DB4"/>
          <w:sz w:val="28"/>
          <w:szCs w:val="28"/>
        </w:rPr>
        <w:t xml:space="preserve">6.2 Priority-Aware Routing System (PARS)</w:t>
      </w:r>
    </w:p>
    <w:p>
      <w:pPr>
        <w:spacing w:before="0" w:after="160"/>
        <w:jc w:val="both"/>
      </w:pPr>
      <w:r>
        <w:rPr>
          <w:rFonts w:ascii="Arial" w:cs="Arial" w:eastAsia="Arial" w:hAnsi="Arial"/>
          <w:b w:val="false"/>
          <w:bCs w:val="false"/>
          <w:i w:val="false"/>
          <w:iCs w:val="false"/>
          <w:color w:val="374151"/>
          <w:sz w:val="24"/>
          <w:szCs w:val="24"/>
        </w:rPr>
        <w:t xml:space="preserve">PARS is a clinical urgency classification system that maps medical context to delivery time constraints. PARS scores are assigned by the Healthcare Provider at prescription creation time and are embedded in both SC-3 (for medical record audit) and SC-5 (for delivery routing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900"/>
        <w:gridCol w:w="1600"/>
        <w:gridCol w:w="3300"/>
      </w:tblGrid>
      <w:tr>
        <w:trPr>
          <w:tblHeader/>
        </w:trPr>
        <w:tc>
          <w:tcPr>
            <w:tcW w:type="dxa" w:w="9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1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 Range</w:t>
            </w:r>
          </w:p>
        </w:tc>
        <w:tc>
          <w:tcPr>
            <w:tcW w:type="dxa" w:w="9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SLA</w:t>
            </w:r>
          </w:p>
        </w:tc>
        <w:tc>
          <w:tcPr>
            <w:tcW w:type="dxa" w:w="1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UAV Requirement</w:t>
            </w:r>
          </w:p>
        </w:tc>
        <w:tc>
          <w:tcPr>
            <w:tcW w:type="dxa" w:w="33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Clinical Examples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CRITICAL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90–100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&lt; 3 minutes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υpremium mandatory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Insulin for hypoglycaemia, cardiac medications, epinephrine for anaphylaxis, seizure medications, acute blood pressure emergencies</w:t>
            </w:r>
          </w:p>
        </w:tc>
      </w:tr>
      <w:tr>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HIGH</w:t>
            </w:r>
          </w:p>
        </w:tc>
        <w:tc>
          <w:tcPr>
            <w:tcW w:type="dxa" w:w="1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70–89</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&lt; 10 minutes</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υpremium preferred</w:t>
            </w:r>
          </w:p>
        </w:tc>
        <w:tc>
          <w:tcPr>
            <w:tcW w:type="dxa" w:w="3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Antibiotics for active systemic infection, strong analgesics, anti-coagulants (stroke), chemotherapy supportive medications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MODERATE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40–69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&lt; 30 minutes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υnormal sufficient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Routine prescription medications, vitamins and supplements, long-term condition maintenance drugs, post-surgical follow-up medications</w:t>
            </w:r>
          </w:p>
        </w:tc>
      </w:tr>
      <w:tr>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LOW</w:t>
            </w:r>
          </w:p>
        </w:tc>
        <w:tc>
          <w:tcPr>
            <w:tcW w:type="dxa" w:w="1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0–39</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&lt; 2 hours</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υnormal best-effort</w:t>
            </w:r>
          </w:p>
        </w:tc>
        <w:tc>
          <w:tcPr>
            <w:tcW w:type="dxa" w:w="3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Cosmetics and topical preparations, elective prescriptions, over-the-counter medications, non-urgent chronic disease refills</w:t>
            </w:r>
          </w:p>
        </w:tc>
      </w:tr>
    </w:tbl>
    <w:p>
      <w:pPr>
        <w:spacing w:before="80" w:after="200"/>
        <w:jc w:val="center"/>
      </w:pPr>
      <w:r>
        <w:rPr>
          <w:rFonts w:ascii="Arial" w:cs="Arial" w:eastAsia="Arial" w:hAnsi="Arial"/>
          <w:i/>
          <w:iCs/>
          <w:color w:val="6B7280"/>
          <w:sz w:val="20"/>
          <w:szCs w:val="20"/>
        </w:rPr>
        <w:t xml:space="preserve">Table 6.1: PARS Tier Definitions with Clinical Examples and SLA Constraints</w:t>
      </w:r>
    </w:p>
    <w:p>
      <w:pPr>
        <w:spacing w:before="0" w:after="160"/>
        <w:jc w:val="both"/>
      </w:pPr>
      <w:r>
        <w:rPr>
          <w:rFonts w:ascii="Arial" w:cs="Arial" w:eastAsia="Arial" w:hAnsi="Arial"/>
          <w:b w:val="false"/>
          <w:bCs w:val="false"/>
          <w:i w:val="false"/>
          <w:iCs w:val="false"/>
          <w:color w:val="374151"/>
          <w:sz w:val="24"/>
          <w:szCs w:val="24"/>
        </w:rPr>
        <w:t xml:space="preserve">PARS Integrity — Anomaly Detection: The Regulatory Auditor continuously monitors SC-3 MBLOCK records and SC-5 order records for PARS score inflation — the practice of assigning HIGH or CRITICAL scores to non-urgent medications to jump the delivery queue. Anomalies are flagged when: (a) the drug name in the MBLOCK does not match known high-urgency drug categories; (b) a specific HP exhibits a statistically implausible proportion of CRITICAL orders; or (c) the same patient receives multiple CRITICAL orders within a short time window without clinical explanation. Confirmed PARS inflation triggers a report to the Trusted Authority with SC-3 block hash evidence, which may result in HP DID revocation.</w:t>
      </w:r>
    </w:p>
    <w:p>
      <w:pPr>
        <w:pStyle w:val="Heading2"/>
        <w:spacing w:before="280" w:after="120"/>
      </w:pPr>
      <w:r>
        <w:rPr>
          <w:rFonts w:ascii="Arial" w:cs="Arial" w:eastAsia="Arial" w:hAnsi="Arial"/>
          <w:b/>
          <w:bCs/>
          <w:color w:val="2E6DB4"/>
          <w:sz w:val="28"/>
          <w:szCs w:val="28"/>
        </w:rPr>
        <w:t xml:space="preserve">6.3 Hardware-Bound UAV Identity</w:t>
      </w:r>
    </w:p>
    <w:p>
      <w:pPr>
        <w:spacing w:before="0" w:after="160"/>
        <w:jc w:val="both"/>
      </w:pPr>
      <w:r>
        <w:rPr>
          <w:rFonts w:ascii="Arial" w:cs="Arial" w:eastAsia="Arial" w:hAnsi="Arial"/>
          <w:b w:val="false"/>
          <w:bCs w:val="false"/>
          <w:i w:val="false"/>
          <w:iCs w:val="false"/>
          <w:color w:val="374151"/>
          <w:sz w:val="24"/>
          <w:szCs w:val="24"/>
        </w:rPr>
        <w:t xml:space="preserve">The hardware binding scheme creates a cryptographic link between a UAV's identity and its physical hardware, making identity theft (through private key copying) ineffective even if the key file is extracted from the UAV's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20"/>
              <w:left w:type="dxa" w:w="200"/>
              <w:bottom w:type="dxa" w:w="120"/>
              <w:right w:type="dxa" w:w="200"/>
            </w:tcMar>
          </w:tcPr>
          <w:p>
            <w:pPr>
              <w:spacing w:before="0" w:after="80"/>
            </w:pPr>
            <w:r>
              <w:rPr>
                <w:rFonts w:ascii="Arial" w:cs="Arial" w:eastAsia="Arial" w:hAnsi="Arial"/>
                <w:b/>
                <w:bCs/>
                <w:color w:val="1A3A6B"/>
                <w:sz w:val="22"/>
                <w:szCs w:val="22"/>
              </w:rPr>
              <w:t xml:space="preserve">Hardware Identity Construction</w:t>
            </w:r>
          </w:p>
          <w:p>
            <w:pPr>
              <w:spacing w:before="0" w:after="0"/>
              <w:jc w:val="both"/>
            </w:pPr>
            <w:r>
              <w:rPr>
                <w:rFonts w:ascii="Arial" w:cs="Arial" w:eastAsia="Arial" w:hAnsi="Arial"/>
                <w:color w:val="374151"/>
                <w:sz w:val="22"/>
                <w:szCs w:val="22"/>
              </w:rPr>
              <w:t xml:space="preserve">h° = H(mac ‖ τs ‖ seed)
where:
  mac  = hardware MAC address (read from NIC, non-changeable)
  τs   = manufacture timestamp (factory-recorded)
  seed = TA-issued secret (delivered at registration, not stored in UAV firmware)
The DID is then: did:dcba:uav:H(keypub_UAV)
where keypub_UAV is derived from h° as the master key material.</w:t>
            </w:r>
          </w:p>
        </w:tc>
      </w:tr>
    </w:tbl>
    <w:p>
      <w:pPr>
        <w:spacing w:before="0" w:after="160"/>
        <w:jc w:val="both"/>
      </w:pPr>
      <w:r>
        <w:rPr>
          <w:rFonts w:ascii="Arial" w:cs="Arial" w:eastAsia="Arial" w:hAnsi="Arial"/>
          <w:b w:val="false"/>
          <w:bCs w:val="false"/>
          <w:i w:val="false"/>
          <w:iCs w:val="false"/>
          <w:color w:val="374151"/>
          <w:sz w:val="24"/>
          <w:szCs w:val="24"/>
        </w:rPr>
        <w:t xml:space="preserve">Security Analysis: If an adversary steals the UAV and attempts to use it with a different network interface (different MAC address), H(mac' ‖ τs ‖ seed) ≠ h°, producing a different keypub_UAV that does not match the registered value in SC-1. If an adversary extracts the private key from firmware and installs it on a different device, the device's MAC address differs, producing the same mismatch. If an adversary attempts to clone the UAV by duplicating both the firmware and MAC address, they would also need the TA-issued seed, which is never stored in the UAV and is only known to the TA. The scheme thus provides three independent layers of protection against impersonation.</w:t>
      </w:r>
    </w:p>
    <w:p>
      <w:pPr>
        <w:pStyle w:val="Heading2"/>
        <w:spacing w:before="280" w:after="120"/>
      </w:pPr>
      <w:r>
        <w:rPr>
          <w:rFonts w:ascii="Arial" w:cs="Arial" w:eastAsia="Arial" w:hAnsi="Arial"/>
          <w:b/>
          <w:bCs/>
          <w:color w:val="2E6DB4"/>
          <w:sz w:val="28"/>
          <w:szCs w:val="28"/>
        </w:rPr>
        <w:t xml:space="preserve">6.4 Bloom Filter Integration in SC-4</w:t>
      </w:r>
    </w:p>
    <w:p>
      <w:pPr>
        <w:spacing w:before="0" w:after="160"/>
        <w:jc w:val="both"/>
      </w:pPr>
      <w:r>
        <w:rPr>
          <w:rFonts w:ascii="Arial" w:cs="Arial" w:eastAsia="Arial" w:hAnsi="Arial"/>
          <w:b w:val="false"/>
          <w:bCs w:val="false"/>
          <w:i w:val="false"/>
          <w:iCs w:val="false"/>
          <w:color w:val="374151"/>
          <w:sz w:val="24"/>
          <w:szCs w:val="24"/>
        </w:rPr>
        <w:t xml:space="preserve">The Bloom filter in SC-4 is initialised at deployment time with the DIDs of all registered UAVs from SC-1. When the TA registers a new UAV in SC-1, the registration event triggers an update to the SC-4 Bloom filter. When a UAV's registration is revoked in SC-1, the filter is rebuilt from the current active set (Bloom filters do not support deletion; rebuild is necessary for correctness after revocation).</w:t>
      </w:r>
    </w:p>
    <w:p>
      <w:pPr>
        <w:spacing w:before="0" w:after="160"/>
        <w:jc w:val="both"/>
      </w:pPr>
      <w:r>
        <w:rPr>
          <w:rFonts w:ascii="Arial" w:cs="Arial" w:eastAsia="Arial" w:hAnsi="Arial"/>
          <w:b w:val="false"/>
          <w:bCs w:val="false"/>
          <w:i w:val="false"/>
          <w:iCs w:val="false"/>
          <w:color w:val="374151"/>
          <w:sz w:val="24"/>
          <w:szCs w:val="24"/>
        </w:rPr>
        <w:t xml:space="preserve">The filter parameters are selected as follows: for a fleet of n = 100 UAVs, a target false positive rate of ε = 0.01 (1%), the optimal number of hash functions k = ⌈-log₂(ε)⌉ = 7, and the required bit array size m = ⌈-(n·ln(ε)) / (ln 2)²⌉ = 959 bits. In practice, a 1024-bit (128-byte) array is used for alignment convenience. This imposes negligible on-chain storage cost (128 bytes) while delivering O(1) lookup performance for all 100 UAVs simultaneously.</w:t>
      </w:r>
    </w:p>
    <w:p>
      <w:r>
        <w:br w:type="page"/>
      </w:r>
    </w:p>
    <w:p>
      <w:pPr>
        <w:pStyle w:val="Heading1"/>
        <w:pBdr>
          <w:bottom w:val="single" w:color="2E6DB4" w:sz="4" w:space="4"/>
        </w:pBdr>
        <w:spacing w:before="360" w:after="160"/>
      </w:pPr>
      <w:r>
        <w:rPr>
          <w:rFonts w:ascii="Arial" w:cs="Arial" w:eastAsia="Arial" w:hAnsi="Arial"/>
          <w:b/>
          <w:bCs/>
          <w:color w:val="1A3A6B"/>
          <w:sz w:val="32"/>
          <w:szCs w:val="32"/>
        </w:rPr>
        <w:t xml:space="preserve">7. Security Architecture and Analysis</w:t>
      </w:r>
    </w:p>
    <w:p>
      <w:pPr>
        <w:pStyle w:val="Heading2"/>
        <w:spacing w:before="280" w:after="120"/>
      </w:pPr>
      <w:r>
        <w:rPr>
          <w:rFonts w:ascii="Arial" w:cs="Arial" w:eastAsia="Arial" w:hAnsi="Arial"/>
          <w:b/>
          <w:bCs/>
          <w:color w:val="2E6DB4"/>
          <w:sz w:val="28"/>
          <w:szCs w:val="28"/>
        </w:rPr>
        <w:t xml:space="preserve">7.1 Threat Model</w:t>
      </w:r>
    </w:p>
    <w:p>
      <w:pPr>
        <w:spacing w:before="0" w:after="160"/>
        <w:jc w:val="both"/>
      </w:pPr>
      <w:r>
        <w:rPr>
          <w:rFonts w:ascii="Arial" w:cs="Arial" w:eastAsia="Arial" w:hAnsi="Arial"/>
          <w:b w:val="false"/>
          <w:bCs w:val="false"/>
          <w:i w:val="false"/>
          <w:iCs w:val="false"/>
          <w:color w:val="374151"/>
          <w:sz w:val="24"/>
          <w:szCs w:val="24"/>
        </w:rPr>
        <w:t xml:space="preserve">The DCBA threat model considers the following adversary classes: (1) Malicious Healthcare Provider — attempts to write prescriptions for drugs they did not prescribe, forge patient consent, or inflate PARS scores; (2) Rogue UAV — attempts to impersonate a registered UAV, submit false capability scores, or deviate from assigned routes without detection; (3) Network Attacker — attempts to replay prescription verifications, intercept unencrypted medical data, or inject false GPS telemetry; (4) Compromised Miner/Validator — attempts to accept invalid transactions, censor legitimate transactions, or fork the chain; (5) Malicious Regulatory Auditor — attempts to modify audit records or access patient medical data beyond their read-only mandate.</w:t>
      </w:r>
    </w:p>
    <w:p>
      <w:pPr>
        <w:spacing w:before="0" w:after="160"/>
        <w:jc w:val="both"/>
      </w:pPr>
      <w:r>
        <w:rPr>
          <w:rFonts w:ascii="Arial" w:cs="Arial" w:eastAsia="Arial" w:hAnsi="Arial"/>
          <w:b w:val="false"/>
          <w:bCs w:val="false"/>
          <w:i w:val="false"/>
          <w:iCs w:val="false"/>
          <w:color w:val="374151"/>
          <w:sz w:val="24"/>
          <w:szCs w:val="24"/>
        </w:rPr>
        <w:t xml:space="preserve">DCBA does not consider nation-state-level adversaries with the ability to compromise all validator nodes simultaneously, break standard cryptographic primitives (SHA-256, AES-256, ECDSA), or conduct supply-chain attacks on the UAV hardware manufacturing process. These are considered out of scope for a permissioned blockchain deployment in a national regulatory context.</w:t>
      </w:r>
    </w:p>
    <w:p>
      <w:pPr>
        <w:pStyle w:val="Heading2"/>
        <w:spacing w:before="280" w:after="120"/>
      </w:pPr>
      <w:r>
        <w:rPr>
          <w:rFonts w:ascii="Arial" w:cs="Arial" w:eastAsia="Arial" w:hAnsi="Arial"/>
          <w:b/>
          <w:bCs/>
          <w:color w:val="2E6DB4"/>
          <w:sz w:val="28"/>
          <w:szCs w:val="28"/>
        </w:rPr>
        <w:t xml:space="preserve">7.2 Security Properties and Attack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1500"/>
      </w:tblGrid>
      <w:tr>
        <w:trPr>
          <w:tblHeader/>
        </w:trPr>
        <w:tc>
          <w:tcPr>
            <w:tcW w:type="dxa" w:w="2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Attack / Threat</w:t>
            </w:r>
          </w:p>
        </w:tc>
        <w:tc>
          <w:tcPr>
            <w:tcW w:type="dxa" w:w="3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DCBA Mitigation Mechanism</w:t>
            </w:r>
          </w:p>
        </w:tc>
        <w:tc>
          <w:tcPr>
            <w:tcW w:type="dxa" w:w="1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Where Enforced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Prescription forgery — HP submits fake MBLOCK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SC-3 requires valid SC-2 consent token + HP digital signature + SC-1 registration. All three checked atomically by miners.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SC-1, SC-2, SC-3, Miners</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Patient data breach — read encrypted MBLOCK</w:t>
            </w:r>
          </w:p>
        </w:tc>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MBLOCK encrypted with keypub_P off-chain. On-chain stores only IPFS hash of ciphertext. Decryption requires keypri_P, held only by patient.</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Off-chain encryption; SC-3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Prescription replay — reuse rxHash for multiple deliveries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SC-7 marks each rxHash as USED after first verification. Duplicate verifyHash() calls return false regardless of prescription validity.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SC-7 Oracle Bridge</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UAV impersonation — fake UAV submits DCS score</w:t>
            </w:r>
          </w:p>
        </w:tc>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Phase 1 Bloom filter drops unregistered DIDs. Phase 2 verifies signature against SC-1 keypub_UAV. Both must pass.</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SC-4, SC-1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UAV cloning — copy private key to different device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Hardware-bound identity h = H(mac‖τs‖seed). Different hardware MAC produces non-matching DID. SC-1 rejects.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SC-1, Hardware binding</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Consent bypass — HP writes without patient permission</w:t>
            </w:r>
          </w:p>
        </w:tc>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SC-3 calls SC-2.hasAccess() on every write. Transaction reverts if consent is absent or expired.</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SC-2, SC-3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Validator collusion — single org controls consensus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TA enforces anti-collusion: no org &gt; 50% validator seats. PoA validator identities are publicly known and accountable.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SC-1, TA governance</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PARS inflation — HP assigns inflated urgency scores</w:t>
            </w:r>
          </w:p>
        </w:tc>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RA monitors SC-3 and SC-5 for statistical anomalies. Flagged to TA with block hash evidence. HP DID may be revoked.</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RA monitoring, SC-1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Route deviation — UAV leaves assigned flight path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GPS logged every 1 second to IPFS via SC-6. DS monitors deviation in real time. SC-6.flagDeviation() triggers re-dispatch and reputation penalty.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SC-6, DS monitoring</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GPS spoofing — fake GPS telemetry injected</w:t>
            </w:r>
          </w:p>
        </w:tc>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IPFS content addressing: each GPS log entry's IPFS hash is deterministically derived from its content. Any modification changes the hash, breaking the on-chain record.</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IPFS content addressing, SC-6</w:t>
            </w:r>
          </w:p>
        </w:tc>
      </w:tr>
    </w:tbl>
    <w:p>
      <w:pPr>
        <w:spacing w:before="80" w:after="200"/>
        <w:jc w:val="center"/>
      </w:pPr>
      <w:r>
        <w:rPr>
          <w:rFonts w:ascii="Arial" w:cs="Arial" w:eastAsia="Arial" w:hAnsi="Arial"/>
          <w:i/>
          <w:iCs/>
          <w:color w:val="6B7280"/>
          <w:sz w:val="20"/>
          <w:szCs w:val="20"/>
        </w:rPr>
        <w:t xml:space="preserve">Table 7.1: Attack Vectors and DCBA Mitigations</w:t>
      </w:r>
    </w:p>
    <w:p>
      <w:pPr>
        <w:pStyle w:val="Heading2"/>
        <w:spacing w:before="280" w:after="120"/>
      </w:pPr>
      <w:r>
        <w:rPr>
          <w:rFonts w:ascii="Arial" w:cs="Arial" w:eastAsia="Arial" w:hAnsi="Arial"/>
          <w:b/>
          <w:bCs/>
          <w:color w:val="2E6DB4"/>
          <w:sz w:val="28"/>
          <w:szCs w:val="28"/>
        </w:rPr>
        <w:t xml:space="preserve">7.3 Zero-Trust Verification Matrix</w:t>
      </w:r>
    </w:p>
    <w:p>
      <w:pPr>
        <w:spacing w:before="0" w:after="160"/>
        <w:jc w:val="both"/>
      </w:pPr>
      <w:r>
        <w:rPr>
          <w:rFonts w:ascii="Arial" w:cs="Arial" w:eastAsia="Arial" w:hAnsi="Arial"/>
          <w:b w:val="false"/>
          <w:bCs w:val="false"/>
          <w:i w:val="false"/>
          <w:iCs w:val="false"/>
          <w:color w:val="374151"/>
          <w:sz w:val="24"/>
          <w:szCs w:val="24"/>
        </w:rPr>
        <w:t xml:space="preserve">DCBA implements zero-trust principles by requiring explicit verification of identity, permission, and data integrity on every significant operation. The following matrix summarises the verification checks performed for each critical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100"/>
        <w:gridCol w:w="1200"/>
        <w:gridCol w:w="1300"/>
        <w:gridCol w:w="1200"/>
      </w:tblGrid>
      <w:tr>
        <w:trPr>
          <w:tblHeader/>
        </w:trP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Operation</w:t>
            </w:r>
          </w:p>
        </w:tc>
        <w:tc>
          <w:tcPr>
            <w:tcW w:type="dxa" w:w="13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SC-1 ID Check</w:t>
            </w:r>
          </w:p>
        </w:tc>
        <w:tc>
          <w:tcPr>
            <w:tcW w:type="dxa" w:w="11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SC-2 Consent</w:t>
            </w:r>
          </w:p>
        </w:tc>
        <w:tc>
          <w:tcPr>
            <w:tcW w:type="dxa" w:w="1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 Verify</w:t>
            </w:r>
          </w:p>
        </w:tc>
        <w:tc>
          <w:tcPr>
            <w:tcW w:type="dxa" w:w="13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SC-7 Oracle</w:t>
            </w:r>
          </w:p>
        </w:tc>
        <w:tc>
          <w:tcPr>
            <w:tcW w:type="dxa" w:w="1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Bloom Filter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HP writes MBLOCK (SC-3.addRecord)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YES — HP active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YES — patient consent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YES — HP sig on MBLOCK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Auto-registers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HP submits delivery order (SC-5.submitOrder)</w:t>
            </w:r>
          </w:p>
        </w:tc>
        <w:tc>
          <w:tcPr>
            <w:tcW w:type="dxa" w:w="1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YES — HP + actors</w:t>
            </w:r>
          </w:p>
        </w:tc>
        <w:tc>
          <w:tcPr>
            <w:tcW w:type="dxa" w:w="11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YES — HP sig</w:t>
            </w:r>
          </w:p>
        </w:tc>
        <w:tc>
          <w:tcPr>
            <w:tcW w:type="dxa" w:w="1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YES — rxHash verify</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UAV submits DCS score (SC-4.submitScore)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YES — UAV active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YES — UAV sig on εs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YES — Phase 1</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Patient confirms delivery (SC-6.confirmDelivery)</w:t>
            </w:r>
          </w:p>
        </w:tc>
        <w:tc>
          <w:tcPr>
            <w:tcW w:type="dxa" w:w="1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YES — patient active</w:t>
            </w:r>
          </w:p>
        </w:tc>
        <w:tc>
          <w:tcPr>
            <w:tcW w:type="dxa" w:w="11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Implicit (msg.sender = patient)</w:t>
            </w:r>
          </w:p>
        </w:tc>
        <w:tc>
          <w:tcPr>
            <w:tcW w:type="dxa" w:w="1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Warehouse confirms stock (SC-5.confirmStock)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YES — DW active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Implicit (msg.sender = DW)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DS creates delivery (SC-6.createDelivery)</w:t>
            </w:r>
          </w:p>
        </w:tc>
        <w:tc>
          <w:tcPr>
            <w:tcW w:type="dxa" w:w="1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YES — DS + UAV</w:t>
            </w:r>
          </w:p>
        </w:tc>
        <w:tc>
          <w:tcPr>
            <w:tcW w:type="dxa" w:w="11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Implicit</w:t>
            </w:r>
          </w:p>
        </w:tc>
        <w:tc>
          <w:tcPr>
            <w:tcW w:type="dxa" w:w="1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TA registers DID (SC-1.register)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Root authority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YES — TA is deployer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w:t>
            </w:r>
          </w:p>
        </w:tc>
      </w:tr>
    </w:tbl>
    <w:p>
      <w:pPr>
        <w:spacing w:before="80" w:after="200"/>
        <w:jc w:val="center"/>
      </w:pPr>
      <w:r>
        <w:rPr>
          <w:rFonts w:ascii="Arial" w:cs="Arial" w:eastAsia="Arial" w:hAnsi="Arial"/>
          <w:i/>
          <w:iCs/>
          <w:color w:val="6B7280"/>
          <w:sz w:val="20"/>
          <w:szCs w:val="20"/>
        </w:rPr>
        <w:t xml:space="preserve">Table 7.2: Zero-Trust Verification Matrix</w:t>
      </w:r>
    </w:p>
    <w:p>
      <w:r>
        <w:br w:type="page"/>
      </w:r>
    </w:p>
    <w:p>
      <w:pPr>
        <w:pStyle w:val="Heading1"/>
        <w:pBdr>
          <w:bottom w:val="single" w:color="2E6DB4" w:sz="4" w:space="4"/>
        </w:pBdr>
        <w:spacing w:before="360" w:after="160"/>
      </w:pPr>
      <w:r>
        <w:rPr>
          <w:rFonts w:ascii="Arial" w:cs="Arial" w:eastAsia="Arial" w:hAnsi="Arial"/>
          <w:b/>
          <w:bCs/>
          <w:color w:val="1A3A6B"/>
          <w:sz w:val="32"/>
          <w:szCs w:val="32"/>
        </w:rPr>
        <w:t xml:space="preserve">8. Implementation Plan</w:t>
      </w:r>
    </w:p>
    <w:p>
      <w:pPr>
        <w:pStyle w:val="Heading2"/>
        <w:spacing w:before="280" w:after="120"/>
      </w:pPr>
      <w:r>
        <w:rPr>
          <w:rFonts w:ascii="Arial" w:cs="Arial" w:eastAsia="Arial" w:hAnsi="Arial"/>
          <w:b/>
          <w:bCs/>
          <w:color w:val="2E6DB4"/>
          <w:sz w:val="28"/>
          <w:szCs w:val="28"/>
        </w:rPr>
        <w:t xml:space="preserve">8.1 Development Environment</w:t>
      </w:r>
    </w:p>
    <w:p>
      <w:pPr>
        <w:spacing w:before="0" w:after="160"/>
        <w:jc w:val="both"/>
      </w:pPr>
      <w:r>
        <w:rPr>
          <w:rFonts w:ascii="Arial" w:cs="Arial" w:eastAsia="Arial" w:hAnsi="Arial"/>
          <w:b w:val="false"/>
          <w:bCs w:val="false"/>
          <w:i w:val="false"/>
          <w:iCs w:val="false"/>
          <w:color w:val="374151"/>
          <w:sz w:val="24"/>
          <w:szCs w:val="24"/>
        </w:rPr>
        <w:t xml:space="preserve">The DCBA implementation requires a carefully configured development environment that supports both Ethereum smart contract development and Hyperledger Fabric chaincode development simultaneously. The following toolchain has been selected based on maturity, community support, and benchmarking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900"/>
        <w:gridCol w:w="3900"/>
      </w:tblGrid>
      <w:tr>
        <w:trPr>
          <w:tblHeader/>
        </w:trP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 / Platform</w:t>
            </w:r>
          </w:p>
        </w:tc>
        <w:tc>
          <w:tcPr>
            <w:tcW w:type="dxa" w:w="9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39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PDC Development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Hardhat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2.x</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Ethereum smart contract compilation, deployment, testing, and gas profiling</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PDC Local Network</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Hardhat Network / Ganache</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7.x</w:t>
            </w:r>
          </w:p>
        </w:tc>
        <w:tc>
          <w:tcPr>
            <w:tcW w:type="dxa" w:w="3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In-process Ethereum node for rapid iteration and unit testing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PDC Language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Solidity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^0.8.20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Smart contract language for all 7 PDC-side contracts</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PDC Testing</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ethers.js + Mocha/Chai</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6.x</w:t>
            </w:r>
          </w:p>
        </w:tc>
        <w:tc>
          <w:tcPr>
            <w:tcW w:type="dxa" w:w="3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JavaScript test framework for automated contract testing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PDC Gas Profiling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hardhat-gas-reporter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1.x</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Per-function gas cost measurement for performance analysis</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UOC Development</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Hyperledger Fabric</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2.5 LTS</w:t>
            </w:r>
          </w:p>
        </w:tc>
        <w:tc>
          <w:tcPr>
            <w:tcW w:type="dxa" w:w="3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Enterprise permissioned blockchain for UAV operational chain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UOC Chaincode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Go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1.21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Chaincode implementation language (idiomatic Fabric standard)</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UOC Local Network</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Docker + Docker Compose</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24.x</w:t>
            </w:r>
          </w:p>
        </w:tc>
        <w:tc>
          <w:tcPr>
            <w:tcW w:type="dxa" w:w="3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Container orchestration for multi-org Fabric network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UOC Benchmarking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Hyperledger Caliper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0.6.x</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Official Fabric performance benchmarking framework</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Oracle Bridge</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Node.js + ethers.js</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20 LTS</w:t>
            </w:r>
          </w:p>
        </w:tc>
        <w:tc>
          <w:tcPr>
            <w:tcW w:type="dxa" w:w="3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Cross-chain event listener and relay service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UAV Simulation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Python 3.11 + Docker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3.11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Containerised UAV agent processes for fleet simulation</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Off-Chain Storage</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IPFS (Kubo)</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0.26</w:t>
            </w:r>
          </w:p>
        </w:tc>
        <w:tc>
          <w:tcPr>
            <w:tcW w:type="dxa" w:w="3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Distributed content-addressed storage for GPS and MBLOCK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Data 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Python: pandas, matplotlib, seaborn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Latest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Benchmark data processing and graph generation</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Version Control</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Git + GitHub</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w:t>
            </w:r>
          </w:p>
        </w:tc>
        <w:tc>
          <w:tcPr>
            <w:tcW w:type="dxa" w:w="3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Source code management and collaboration</w:t>
            </w:r>
          </w:p>
        </w:tc>
      </w:tr>
    </w:tbl>
    <w:p>
      <w:pPr>
        <w:spacing w:before="80" w:after="200"/>
        <w:jc w:val="center"/>
      </w:pPr>
      <w:r>
        <w:rPr>
          <w:rFonts w:ascii="Arial" w:cs="Arial" w:eastAsia="Arial" w:hAnsi="Arial"/>
          <w:i/>
          <w:iCs/>
          <w:color w:val="6B7280"/>
          <w:sz w:val="20"/>
          <w:szCs w:val="20"/>
        </w:rPr>
        <w:t xml:space="preserve">Table 8.1: DCBA Development Toolchain</w:t>
      </w:r>
    </w:p>
    <w:p>
      <w:pPr>
        <w:pStyle w:val="Heading2"/>
        <w:spacing w:before="280" w:after="120"/>
      </w:pPr>
      <w:r>
        <w:rPr>
          <w:rFonts w:ascii="Arial" w:cs="Arial" w:eastAsia="Arial" w:hAnsi="Arial"/>
          <w:b/>
          <w:bCs/>
          <w:color w:val="2E6DB4"/>
          <w:sz w:val="28"/>
          <w:szCs w:val="28"/>
        </w:rPr>
        <w:t xml:space="preserve">8.2 Development Phases</w:t>
      </w:r>
    </w:p>
    <w:p>
      <w:pPr>
        <w:pStyle w:val="Heading3"/>
        <w:spacing w:before="200" w:after="80"/>
      </w:pPr>
      <w:r>
        <w:rPr>
          <w:rFonts w:ascii="Arial" w:cs="Arial" w:eastAsia="Arial" w:hAnsi="Arial"/>
          <w:b/>
          <w:bCs/>
          <w:color w:val="0E7490"/>
          <w:sz w:val="24"/>
          <w:szCs w:val="24"/>
        </w:rPr>
        <w:t xml:space="preserve">Phase 0 — Environment Setup (Weeks 1–2)</w:t>
      </w:r>
    </w:p>
    <w:p>
      <w:pPr>
        <w:spacing w:before="0" w:after="160"/>
        <w:jc w:val="both"/>
      </w:pPr>
      <w:r>
        <w:rPr>
          <w:rFonts w:ascii="Arial" w:cs="Arial" w:eastAsia="Arial" w:hAnsi="Arial"/>
          <w:b w:val="false"/>
          <w:bCs w:val="false"/>
          <w:i w:val="false"/>
          <w:iCs w:val="false"/>
          <w:color w:val="374151"/>
          <w:sz w:val="24"/>
          <w:szCs w:val="24"/>
        </w:rPr>
        <w:t xml:space="preserve">Before writing production code, the complete toolchain must be installed, configured, and verified through simple test deployments. This phase ensures that all subsequent development phases proceed without environment-related interruptions.</w:t>
      </w:r>
    </w:p>
    <w:p>
      <w:pPr>
        <w:pStyle w:val="ListParagraph"/>
        <w:numPr>
          <w:ilvl w:val="0"/>
          <w:numId w:val="3"/>
        </w:numPr>
        <w:spacing w:before="0" w:after="100"/>
      </w:pPr>
      <w:r>
        <w:rPr>
          <w:rFonts w:ascii="Arial" w:cs="Arial" w:eastAsia="Arial" w:hAnsi="Arial"/>
          <w:b w:val="false"/>
          <w:bCs w:val="false"/>
          <w:color w:val="374151"/>
          <w:sz w:val="24"/>
          <w:szCs w:val="24"/>
        </w:rPr>
        <w:t xml:space="preserve">Install Node.js 20 LTS, Hardhat, ethers.js, and hardhat-gas-reporter. Deploy and test the Hello World Hardhat sample project.</w:t>
      </w:r>
    </w:p>
    <w:p>
      <w:pPr>
        <w:pStyle w:val="ListParagraph"/>
        <w:numPr>
          <w:ilvl w:val="0"/>
          <w:numId w:val="3"/>
        </w:numPr>
        <w:spacing w:before="0" w:after="100"/>
      </w:pPr>
      <w:r>
        <w:rPr>
          <w:rFonts w:ascii="Arial" w:cs="Arial" w:eastAsia="Arial" w:hAnsi="Arial"/>
          <w:b w:val="false"/>
          <w:bCs w:val="false"/>
          <w:color w:val="374151"/>
          <w:sz w:val="24"/>
          <w:szCs w:val="24"/>
        </w:rPr>
        <w:t xml:space="preserve">Install Docker Desktop and Docker Compose. Pull the official Hyperledger Fabric 2.5 Docker images and run the fabric-samples test-network to verify Fabric installation.</w:t>
      </w:r>
    </w:p>
    <w:p>
      <w:pPr>
        <w:pStyle w:val="ListParagraph"/>
        <w:numPr>
          <w:ilvl w:val="0"/>
          <w:numId w:val="3"/>
        </w:numPr>
        <w:spacing w:before="0" w:after="100"/>
      </w:pPr>
      <w:r>
        <w:rPr>
          <w:rFonts w:ascii="Arial" w:cs="Arial" w:eastAsia="Arial" w:hAnsi="Arial"/>
          <w:b w:val="false"/>
          <w:bCs w:val="false"/>
          <w:color w:val="374151"/>
          <w:sz w:val="24"/>
          <w:szCs w:val="24"/>
        </w:rPr>
        <w:t xml:space="preserve">Install Go 1.21 and initialise a basic chaincode project using the Fabric contract API.</w:t>
      </w:r>
    </w:p>
    <w:p>
      <w:pPr>
        <w:pStyle w:val="ListParagraph"/>
        <w:numPr>
          <w:ilvl w:val="0"/>
          <w:numId w:val="3"/>
        </w:numPr>
        <w:spacing w:before="0" w:after="100"/>
      </w:pPr>
      <w:r>
        <w:rPr>
          <w:rFonts w:ascii="Arial" w:cs="Arial" w:eastAsia="Arial" w:hAnsi="Arial"/>
          <w:b w:val="false"/>
          <w:bCs w:val="false"/>
          <w:color w:val="374151"/>
          <w:sz w:val="24"/>
          <w:szCs w:val="24"/>
        </w:rPr>
        <w:t xml:space="preserve">Install IPFS Kubo (go-ipfs) and verify local node operation by uploading and retrieving a test file.</w:t>
      </w:r>
    </w:p>
    <w:p>
      <w:pPr>
        <w:pStyle w:val="ListParagraph"/>
        <w:numPr>
          <w:ilvl w:val="0"/>
          <w:numId w:val="3"/>
        </w:numPr>
        <w:spacing w:before="0" w:after="100"/>
      </w:pPr>
      <w:r>
        <w:rPr>
          <w:rFonts w:ascii="Arial" w:cs="Arial" w:eastAsia="Arial" w:hAnsi="Arial"/>
          <w:b w:val="false"/>
          <w:bCs w:val="false"/>
          <w:color w:val="374151"/>
          <w:sz w:val="24"/>
          <w:szCs w:val="24"/>
        </w:rPr>
        <w:t xml:space="preserve">Configure Hyperledger Caliper with the test-network and run the provided sample benchmark to verify measurement infrastructure.</w:t>
      </w:r>
    </w:p>
    <w:p>
      <w:pPr>
        <w:pStyle w:val="ListParagraph"/>
        <w:numPr>
          <w:ilvl w:val="0"/>
          <w:numId w:val="3"/>
        </w:numPr>
        <w:spacing w:before="0" w:after="100"/>
      </w:pPr>
      <w:r>
        <w:rPr>
          <w:rFonts w:ascii="Arial" w:cs="Arial" w:eastAsia="Arial" w:hAnsi="Arial"/>
          <w:b w:val="false"/>
          <w:bCs w:val="false"/>
          <w:color w:val="374151"/>
          <w:sz w:val="24"/>
          <w:szCs w:val="24"/>
        </w:rPr>
        <w:t xml:space="preserve">Set up a Git repository with appropriate directory structure: /contracts (Solidity), /chaincode (Go), /oracle (Node.js), /simulation (Python), /benchmark (Caliper configs), /analysis (Python scripts).</w:t>
      </w:r>
    </w:p>
    <w:p>
      <w:pPr>
        <w:pStyle w:val="Heading3"/>
        <w:spacing w:before="200" w:after="80"/>
      </w:pPr>
      <w:r>
        <w:rPr>
          <w:rFonts w:ascii="Arial" w:cs="Arial" w:eastAsia="Arial" w:hAnsi="Arial"/>
          <w:b/>
          <w:bCs/>
          <w:color w:val="0E7490"/>
          <w:sz w:val="24"/>
          <w:szCs w:val="24"/>
        </w:rPr>
        <w:t xml:space="preserve">Phase 1 — PDC Implementation (Weeks 3–5)</w:t>
      </w:r>
    </w:p>
    <w:p>
      <w:pPr>
        <w:spacing w:before="0" w:after="160"/>
        <w:jc w:val="both"/>
      </w:pPr>
      <w:r>
        <w:rPr>
          <w:rFonts w:ascii="Arial" w:cs="Arial" w:eastAsia="Arial" w:hAnsi="Arial"/>
          <w:b w:val="false"/>
          <w:bCs w:val="false"/>
          <w:i w:val="false"/>
          <w:iCs w:val="false"/>
          <w:color w:val="374151"/>
          <w:sz w:val="24"/>
          <w:szCs w:val="24"/>
        </w:rPr>
        <w:t xml:space="preserve">Phase 1 implements and thoroughly tests all Solidity smart contracts on the Hardhat local network. The objective is a complete, tested PDC implementation with automated test coverage before proceeding to UOC development.</w:t>
      </w:r>
    </w:p>
    <w:p>
      <w:pPr>
        <w:pStyle w:val="ListParagraph"/>
        <w:numPr>
          <w:ilvl w:val="0"/>
          <w:numId w:val="3"/>
        </w:numPr>
        <w:spacing w:before="0" w:after="100"/>
      </w:pPr>
      <w:r>
        <w:rPr>
          <w:rFonts w:ascii="Arial" w:cs="Arial" w:eastAsia="Arial" w:hAnsi="Arial"/>
          <w:b w:val="false"/>
          <w:bCs w:val="false"/>
          <w:color w:val="374151"/>
          <w:sz w:val="24"/>
          <w:szCs w:val="24"/>
        </w:rPr>
        <w:t xml:space="preserve">Deploy and unit-test SC-1 (Identity Registry). Test cases: TA can register, non-TA cannot register, revocation works, isActive() returns correct values after revocation.</w:t>
      </w:r>
    </w:p>
    <w:p>
      <w:pPr>
        <w:pStyle w:val="ListParagraph"/>
        <w:numPr>
          <w:ilvl w:val="0"/>
          <w:numId w:val="3"/>
        </w:numPr>
        <w:spacing w:before="0" w:after="100"/>
      </w:pPr>
      <w:r>
        <w:rPr>
          <w:rFonts w:ascii="Arial" w:cs="Arial" w:eastAsia="Arial" w:hAnsi="Arial"/>
          <w:b w:val="false"/>
          <w:bCs w:val="false"/>
          <w:color w:val="374151"/>
          <w:sz w:val="24"/>
          <w:szCs w:val="24"/>
        </w:rPr>
        <w:t xml:space="preserve">Deploy and unit-test SC-7 (Oracle Bridge). Test cases: only SC-3 can registerHash(), verifyHash() returns true once then false, PENDING/VALID/USED state transitions are correct.</w:t>
      </w:r>
    </w:p>
    <w:p>
      <w:pPr>
        <w:pStyle w:val="ListParagraph"/>
        <w:numPr>
          <w:ilvl w:val="0"/>
          <w:numId w:val="3"/>
        </w:numPr>
        <w:spacing w:before="0" w:after="100"/>
      </w:pPr>
      <w:r>
        <w:rPr>
          <w:rFonts w:ascii="Arial" w:cs="Arial" w:eastAsia="Arial" w:hAnsi="Arial"/>
          <w:b w:val="false"/>
          <w:bCs w:val="false"/>
          <w:color w:val="374151"/>
          <w:sz w:val="24"/>
          <w:szCs w:val="24"/>
        </w:rPr>
        <w:t xml:space="preserve">Deploy and unit-test SC-2 (Patient Consent). Test cases: patient can grant/revoke, hasAccess() respects expiry, non-patient cannot revoke.</w:t>
      </w:r>
    </w:p>
    <w:p>
      <w:pPr>
        <w:pStyle w:val="ListParagraph"/>
        <w:numPr>
          <w:ilvl w:val="0"/>
          <w:numId w:val="3"/>
        </w:numPr>
        <w:spacing w:before="0" w:after="100"/>
      </w:pPr>
      <w:r>
        <w:rPr>
          <w:rFonts w:ascii="Arial" w:cs="Arial" w:eastAsia="Arial" w:hAnsi="Arial"/>
          <w:b w:val="false"/>
          <w:bCs w:val="false"/>
          <w:color w:val="374151"/>
          <w:sz w:val="24"/>
          <w:szCs w:val="24"/>
        </w:rPr>
        <w:t xml:space="preserve">Deploy and unit-test SC-3 (Medical Records). Test cases: HP with consent can addRecord(), HP without consent cannot, revoked HP cannot, SC-7 receives rxHash after successful addRecord().</w:t>
      </w:r>
    </w:p>
    <w:p>
      <w:pPr>
        <w:pStyle w:val="ListParagraph"/>
        <w:numPr>
          <w:ilvl w:val="0"/>
          <w:numId w:val="3"/>
        </w:numPr>
        <w:spacing w:before="0" w:after="100"/>
      </w:pPr>
      <w:r>
        <w:rPr>
          <w:rFonts w:ascii="Arial" w:cs="Arial" w:eastAsia="Arial" w:hAnsi="Arial"/>
          <w:b w:val="false"/>
          <w:bCs w:val="false"/>
          <w:color w:val="374151"/>
          <w:sz w:val="24"/>
          <w:szCs w:val="24"/>
        </w:rPr>
        <w:t xml:space="preserve">Write an integration test that simulates the full PDC flow: TA registers actors, patient grants consent, HP adds record, verify SC-7 hash is VALID.</w:t>
      </w:r>
    </w:p>
    <w:p>
      <w:pPr>
        <w:pStyle w:val="ListParagraph"/>
        <w:numPr>
          <w:ilvl w:val="0"/>
          <w:numId w:val="3"/>
        </w:numPr>
        <w:spacing w:before="0" w:after="100"/>
      </w:pPr>
      <w:r>
        <w:rPr>
          <w:rFonts w:ascii="Arial" w:cs="Arial" w:eastAsia="Arial" w:hAnsi="Arial"/>
          <w:b w:val="false"/>
          <w:bCs w:val="false"/>
          <w:color w:val="374151"/>
          <w:sz w:val="24"/>
          <w:szCs w:val="24"/>
        </w:rPr>
        <w:t xml:space="preserve">Run hardhat-gas-reporter on all contract functions. Record gas costs for addRecord(), grantAccess(), revokeAccess(), register(), revoke() as baseline performance data.</w:t>
      </w:r>
    </w:p>
    <w:p>
      <w:pPr>
        <w:pStyle w:val="Heading3"/>
        <w:spacing w:before="200" w:after="80"/>
      </w:pPr>
      <w:r>
        <w:rPr>
          <w:rFonts w:ascii="Arial" w:cs="Arial" w:eastAsia="Arial" w:hAnsi="Arial"/>
          <w:b/>
          <w:bCs/>
          <w:color w:val="0E7490"/>
          <w:sz w:val="24"/>
          <w:szCs w:val="24"/>
        </w:rPr>
        <w:t xml:space="preserve">Phase 2 — UOC Implementation (Weeks 6–8)</w:t>
      </w:r>
    </w:p>
    <w:p>
      <w:pPr>
        <w:spacing w:before="0" w:after="160"/>
        <w:jc w:val="both"/>
      </w:pPr>
      <w:r>
        <w:rPr>
          <w:rFonts w:ascii="Arial" w:cs="Arial" w:eastAsia="Arial" w:hAnsi="Arial"/>
          <w:b w:val="false"/>
          <w:bCs w:val="false"/>
          <w:i w:val="false"/>
          <w:iCs w:val="false"/>
          <w:color w:val="374151"/>
          <w:sz w:val="24"/>
          <w:szCs w:val="24"/>
        </w:rPr>
        <w:t xml:space="preserve">Phase 2 implements the UAV Operational Chain as Hyperledger Fabric Go chaincode. The three-organisation Fabric network is deployed using Docker Compose.</w:t>
      </w:r>
    </w:p>
    <w:p>
      <w:pPr>
        <w:pStyle w:val="ListParagraph"/>
        <w:numPr>
          <w:ilvl w:val="0"/>
          <w:numId w:val="3"/>
        </w:numPr>
        <w:spacing w:before="0" w:after="100"/>
      </w:pPr>
      <w:r>
        <w:rPr>
          <w:rFonts w:ascii="Arial" w:cs="Arial" w:eastAsia="Arial" w:hAnsi="Arial"/>
          <w:b w:val="false"/>
          <w:bCs w:val="false"/>
          <w:color w:val="374151"/>
          <w:sz w:val="24"/>
          <w:szCs w:val="24"/>
        </w:rPr>
        <w:t xml:space="preserve">Write and deploy Fabric network configuration: three organisations (DSOrg, WHOrg, ValOrg), one channel (uav-delivery-channel), five Raft ordering nodes, endorsement policy requiring DSOrg AND WHOrg peer signatures.</w:t>
      </w:r>
    </w:p>
    <w:p>
      <w:pPr>
        <w:pStyle w:val="ListParagraph"/>
        <w:numPr>
          <w:ilvl w:val="0"/>
          <w:numId w:val="3"/>
        </w:numPr>
        <w:spacing w:before="0" w:after="100"/>
      </w:pPr>
      <w:r>
        <w:rPr>
          <w:rFonts w:ascii="Arial" w:cs="Arial" w:eastAsia="Arial" w:hAnsi="Arial"/>
          <w:b w:val="false"/>
          <w:bCs w:val="false"/>
          <w:color w:val="374151"/>
          <w:sz w:val="24"/>
          <w:szCs w:val="24"/>
        </w:rPr>
        <w:t xml:space="preserve">Implement SC-4 equivalent as Go chaincode (DCSScoring.go): openRound(), submitScore(), closeRound(), getWinner(), updateReputation(). Deploy to channel and test with Fabric peer CLI.</w:t>
      </w:r>
    </w:p>
    <w:p>
      <w:pPr>
        <w:pStyle w:val="ListParagraph"/>
        <w:numPr>
          <w:ilvl w:val="0"/>
          <w:numId w:val="3"/>
        </w:numPr>
        <w:spacing w:before="0" w:after="100"/>
      </w:pPr>
      <w:r>
        <w:rPr>
          <w:rFonts w:ascii="Arial" w:cs="Arial" w:eastAsia="Arial" w:hAnsi="Arial"/>
          <w:b w:val="false"/>
          <w:bCs w:val="false"/>
          <w:color w:val="374151"/>
          <w:sz w:val="24"/>
          <w:szCs w:val="24"/>
        </w:rPr>
        <w:t xml:space="preserve">Implement SC-5 equivalent as Go chaincode (DeliveryOrders.go): submitOrder() with PARS queue logic, confirmStock(), assignUAV(), getSLASeconds(). Test PARS tier assignment and SLA deadline computation.</w:t>
      </w:r>
    </w:p>
    <w:p>
      <w:pPr>
        <w:pStyle w:val="ListParagraph"/>
        <w:numPr>
          <w:ilvl w:val="0"/>
          <w:numId w:val="3"/>
        </w:numPr>
        <w:spacing w:before="0" w:after="100"/>
      </w:pPr>
      <w:r>
        <w:rPr>
          <w:rFonts w:ascii="Arial" w:cs="Arial" w:eastAsia="Arial" w:hAnsi="Arial"/>
          <w:b w:val="false"/>
          <w:bCs w:val="false"/>
          <w:color w:val="374151"/>
          <w:sz w:val="24"/>
          <w:szCs w:val="24"/>
        </w:rPr>
        <w:t xml:space="preserve">Implement SC-6 equivalent as Go chaincode (DeliveryLifecycle.go): createDelivery(), setInFlight(), logGPS(), flagDeviation(), confirmDelivery(), getGPSLog(). Test state machine transitions.</w:t>
      </w:r>
    </w:p>
    <w:p>
      <w:pPr>
        <w:pStyle w:val="ListParagraph"/>
        <w:numPr>
          <w:ilvl w:val="0"/>
          <w:numId w:val="3"/>
        </w:numPr>
        <w:spacing w:before="0" w:after="100"/>
      </w:pPr>
      <w:r>
        <w:rPr>
          <w:rFonts w:ascii="Arial" w:cs="Arial" w:eastAsia="Arial" w:hAnsi="Arial"/>
          <w:b w:val="false"/>
          <w:bCs w:val="false"/>
          <w:color w:val="374151"/>
          <w:sz w:val="24"/>
          <w:szCs w:val="24"/>
        </w:rPr>
        <w:t xml:space="preserve">Write Caliper benchmark configuration files for DCS scoring, delivery order submission, GPS logging, and delivery confirmation. Run initial (unloaded) benchmarks to establish baseline TPS and latency.</w:t>
      </w:r>
    </w:p>
    <w:p>
      <w:pPr>
        <w:pStyle w:val="Heading3"/>
        <w:spacing w:before="200" w:after="80"/>
      </w:pPr>
      <w:r>
        <w:rPr>
          <w:rFonts w:ascii="Arial" w:cs="Arial" w:eastAsia="Arial" w:hAnsi="Arial"/>
          <w:b/>
          <w:bCs/>
          <w:color w:val="0E7490"/>
          <w:sz w:val="24"/>
          <w:szCs w:val="24"/>
        </w:rPr>
        <w:t xml:space="preserve">Phase 3 — Oracle Bridge (Week 9)</w:t>
      </w:r>
    </w:p>
    <w:p>
      <w:pPr>
        <w:spacing w:before="0" w:after="160"/>
        <w:jc w:val="both"/>
      </w:pPr>
      <w:r>
        <w:rPr>
          <w:rFonts w:ascii="Arial" w:cs="Arial" w:eastAsia="Arial" w:hAnsi="Arial"/>
          <w:b w:val="false"/>
          <w:bCs w:val="false"/>
          <w:i w:val="false"/>
          <w:iCs w:val="false"/>
          <w:color w:val="374151"/>
          <w:sz w:val="24"/>
          <w:szCs w:val="24"/>
        </w:rPr>
        <w:t xml:space="preserve">Phase 3 builds the Node.js service that listens to SC-3 events on Hardhat and relays rxHash registrations to the SC-7 Fabric chaincode equivalent. This phase produces the measured cross-chain oracle latency figure.</w:t>
      </w:r>
    </w:p>
    <w:p>
      <w:pPr>
        <w:pStyle w:val="ListParagraph"/>
        <w:numPr>
          <w:ilvl w:val="0"/>
          <w:numId w:val="3"/>
        </w:numPr>
        <w:spacing w:before="0" w:after="100"/>
      </w:pPr>
      <w:r>
        <w:rPr>
          <w:rFonts w:ascii="Arial" w:cs="Arial" w:eastAsia="Arial" w:hAnsi="Arial"/>
          <w:b w:val="false"/>
          <w:bCs w:val="false"/>
          <w:color w:val="374151"/>
          <w:sz w:val="24"/>
          <w:szCs w:val="24"/>
        </w:rPr>
        <w:t xml:space="preserve">Implement the oracle relay service: ethers.js event listener on SC-3's RecordAdded event, extract rxHash, call Fabric SDK to invoke SC-7 chaincode registerHash() on UOC.</w:t>
      </w:r>
    </w:p>
    <w:p>
      <w:pPr>
        <w:pStyle w:val="ListParagraph"/>
        <w:numPr>
          <w:ilvl w:val="0"/>
          <w:numId w:val="3"/>
        </w:numPr>
        <w:spacing w:before="0" w:after="100"/>
      </w:pPr>
      <w:r>
        <w:rPr>
          <w:rFonts w:ascii="Arial" w:cs="Arial" w:eastAsia="Arial" w:hAnsi="Arial"/>
          <w:b w:val="false"/>
          <w:bCs w:val="false"/>
          <w:color w:val="374151"/>
          <w:sz w:val="24"/>
          <w:szCs w:val="24"/>
        </w:rPr>
        <w:t xml:space="preserve">Instrument the relay service with timestamps at: (1) SC-3 event emitted, (2) relay service receives event, (3) Fabric transaction submitted, (4) Fabric transaction committed. Measure total round-trip time across 100 sample transactions.</w:t>
      </w:r>
    </w:p>
    <w:p>
      <w:pPr>
        <w:pStyle w:val="ListParagraph"/>
        <w:numPr>
          <w:ilvl w:val="0"/>
          <w:numId w:val="3"/>
        </w:numPr>
        <w:spacing w:before="0" w:after="100"/>
      </w:pPr>
      <w:r>
        <w:rPr>
          <w:rFonts w:ascii="Arial" w:cs="Arial" w:eastAsia="Arial" w:hAnsi="Arial"/>
          <w:b w:val="false"/>
          <w:bCs w:val="false"/>
          <w:color w:val="374151"/>
          <w:sz w:val="24"/>
          <w:szCs w:val="24"/>
        </w:rPr>
        <w:t xml:space="preserve">Test oracle replay prevention: verify that a second verifyHash() call with the same rxHash returns false.</w:t>
      </w:r>
    </w:p>
    <w:p>
      <w:pPr>
        <w:pStyle w:val="Heading3"/>
        <w:spacing w:before="200" w:after="80"/>
      </w:pPr>
      <w:r>
        <w:rPr>
          <w:rFonts w:ascii="Arial" w:cs="Arial" w:eastAsia="Arial" w:hAnsi="Arial"/>
          <w:b/>
          <w:bCs/>
          <w:color w:val="0E7490"/>
          <w:sz w:val="24"/>
          <w:szCs w:val="24"/>
        </w:rPr>
        <w:t xml:space="preserve">Phase 4 — UAV Fleet Simulation (Weeks 10–11)</w:t>
      </w:r>
    </w:p>
    <w:p>
      <w:pPr>
        <w:spacing w:before="0" w:after="160"/>
        <w:jc w:val="both"/>
      </w:pPr>
      <w:r>
        <w:rPr>
          <w:rFonts w:ascii="Arial" w:cs="Arial" w:eastAsia="Arial" w:hAnsi="Arial"/>
          <w:b w:val="false"/>
          <w:bCs w:val="false"/>
          <w:i w:val="false"/>
          <w:iCs w:val="false"/>
          <w:color w:val="374151"/>
          <w:sz w:val="24"/>
          <w:szCs w:val="24"/>
        </w:rPr>
        <w:t xml:space="preserve">Phase 4 builds a realistic multi-UAV simulation using Docker containers, each representing one UAV agent. The simulation is the primary vehicle for DCS scalability benchmarking.</w:t>
      </w:r>
    </w:p>
    <w:p>
      <w:pPr>
        <w:pStyle w:val="ListParagraph"/>
        <w:numPr>
          <w:ilvl w:val="0"/>
          <w:numId w:val="3"/>
        </w:numPr>
        <w:spacing w:before="0" w:after="100"/>
      </w:pPr>
      <w:r>
        <w:rPr>
          <w:rFonts w:ascii="Arial" w:cs="Arial" w:eastAsia="Arial" w:hAnsi="Arial"/>
          <w:b w:val="false"/>
          <w:bCs w:val="false"/>
          <w:color w:val="374151"/>
          <w:sz w:val="24"/>
          <w:szCs w:val="24"/>
        </w:rPr>
        <w:t xml:space="preserve">Implement a Python UAV agent (uav_agent.py) that: (1) reads simulated sensor data (speed, payload, battery, CPU, RAM) from a config file; (2) computes the DCS score using the weighted formula; (3) encrypts and signs the score (simplified: using ECDSA with a per-container key); (4) submits to SC-4 via ethers.js.</w:t>
      </w:r>
    </w:p>
    <w:p>
      <w:pPr>
        <w:pStyle w:val="ListParagraph"/>
        <w:numPr>
          <w:ilvl w:val="0"/>
          <w:numId w:val="3"/>
        </w:numPr>
        <w:spacing w:before="0" w:after="100"/>
      </w:pPr>
      <w:r>
        <w:rPr>
          <w:rFonts w:ascii="Arial" w:cs="Arial" w:eastAsia="Arial" w:hAnsi="Arial"/>
          <w:b w:val="false"/>
          <w:bCs w:val="false"/>
          <w:color w:val="374151"/>
          <w:sz w:val="24"/>
          <w:szCs w:val="24"/>
        </w:rPr>
        <w:t xml:space="preserve">Create Docker Compose configurations for fleets of N = 10, 25, 50, 75, and 100 UAV containers. Each container has a unique Ethereum address registered in SC-1.</w:t>
      </w:r>
    </w:p>
    <w:p>
      <w:pPr>
        <w:pStyle w:val="ListParagraph"/>
        <w:numPr>
          <w:ilvl w:val="0"/>
          <w:numId w:val="3"/>
        </w:numPr>
        <w:spacing w:before="0" w:after="100"/>
      </w:pPr>
      <w:r>
        <w:rPr>
          <w:rFonts w:ascii="Arial" w:cs="Arial" w:eastAsia="Arial" w:hAnsi="Arial"/>
          <w:b w:val="false"/>
          <w:bCs w:val="false"/>
          <w:color w:val="374151"/>
          <w:sz w:val="24"/>
          <w:szCs w:val="24"/>
        </w:rPr>
        <w:t xml:space="preserve">Instrument the DCS scoring round with wall-clock timing: DS openRound() timestamp to DS getWinner() timestamp. Record total time for each fleet size.</w:t>
      </w:r>
    </w:p>
    <w:p>
      <w:pPr>
        <w:pStyle w:val="ListParagraph"/>
        <w:numPr>
          <w:ilvl w:val="0"/>
          <w:numId w:val="3"/>
        </w:numPr>
        <w:spacing w:before="0" w:after="100"/>
      </w:pPr>
      <w:r>
        <w:rPr>
          <w:rFonts w:ascii="Arial" w:cs="Arial" w:eastAsia="Arial" w:hAnsi="Arial"/>
          <w:b w:val="false"/>
          <w:bCs w:val="false"/>
          <w:color w:val="374151"/>
          <w:sz w:val="24"/>
          <w:szCs w:val="24"/>
        </w:rPr>
        <w:t xml:space="preserve">Verify correctness: the winner selected by SC-4 should match the UAV with the highest computeScore() output across all N containers.</w:t>
      </w:r>
    </w:p>
    <w:p>
      <w:pPr>
        <w:pStyle w:val="Heading3"/>
        <w:spacing w:before="200" w:after="80"/>
      </w:pPr>
      <w:r>
        <w:rPr>
          <w:rFonts w:ascii="Arial" w:cs="Arial" w:eastAsia="Arial" w:hAnsi="Arial"/>
          <w:b/>
          <w:bCs/>
          <w:color w:val="0E7490"/>
          <w:sz w:val="24"/>
          <w:szCs w:val="24"/>
        </w:rPr>
        <w:t xml:space="preserve">Phase 5 — Benchmarking (Weeks 12–13)</w:t>
      </w:r>
    </w:p>
    <w:p>
      <w:pPr>
        <w:spacing w:before="0" w:after="160"/>
        <w:jc w:val="both"/>
      </w:pPr>
      <w:r>
        <w:rPr>
          <w:rFonts w:ascii="Arial" w:cs="Arial" w:eastAsia="Arial" w:hAnsi="Arial"/>
          <w:b w:val="false"/>
          <w:bCs w:val="false"/>
          <w:i w:val="false"/>
          <w:iCs w:val="false"/>
          <w:color w:val="374151"/>
          <w:sz w:val="24"/>
          <w:szCs w:val="24"/>
        </w:rPr>
        <w:t xml:space="preserve">Phase 5 executes the complete benchmarking suite using purpose-built load generation scripts and Hyperledger Caliper. This phase produces all quantitative results for the research paper.</w:t>
      </w:r>
    </w:p>
    <w:p>
      <w:pPr>
        <w:pStyle w:val="ListParagraph"/>
        <w:numPr>
          <w:ilvl w:val="0"/>
          <w:numId w:val="3"/>
        </w:numPr>
        <w:spacing w:before="0" w:after="100"/>
      </w:pPr>
      <w:r>
        <w:rPr>
          <w:rFonts w:ascii="Arial" w:cs="Arial" w:eastAsia="Arial" w:hAnsi="Arial"/>
          <w:b w:val="false"/>
          <w:bCs w:val="false"/>
          <w:color w:val="374151"/>
          <w:sz w:val="24"/>
          <w:szCs w:val="24"/>
        </w:rPr>
        <w:t xml:space="preserve">PDC throughput benchmark: Hardhat load test script submits 1000 addRecord() transactions at varying concurrency levels (1, 5, 10, 25 concurrent senders). Measure TPS, average latency, p95 latency, p99 latency.</w:t>
      </w:r>
    </w:p>
    <w:p>
      <w:pPr>
        <w:pStyle w:val="ListParagraph"/>
        <w:numPr>
          <w:ilvl w:val="0"/>
          <w:numId w:val="3"/>
        </w:numPr>
        <w:spacing w:before="0" w:after="100"/>
      </w:pPr>
      <w:r>
        <w:rPr>
          <w:rFonts w:ascii="Arial" w:cs="Arial" w:eastAsia="Arial" w:hAnsi="Arial"/>
          <w:b w:val="false"/>
          <w:bCs w:val="false"/>
          <w:color w:val="374151"/>
          <w:sz w:val="24"/>
          <w:szCs w:val="24"/>
        </w:rPr>
        <w:t xml:space="preserve">UOC throughput benchmark: Caliper configuration submits GPS logGPS() transactions at 100, 500, 1000, 2000 TPS target rates. Record actual TPS achieved, average latency, and failure rate.</w:t>
      </w:r>
    </w:p>
    <w:p>
      <w:pPr>
        <w:pStyle w:val="ListParagraph"/>
        <w:numPr>
          <w:ilvl w:val="0"/>
          <w:numId w:val="3"/>
        </w:numPr>
        <w:spacing w:before="0" w:after="100"/>
      </w:pPr>
      <w:r>
        <w:rPr>
          <w:rFonts w:ascii="Arial" w:cs="Arial" w:eastAsia="Arial" w:hAnsi="Arial"/>
          <w:b w:val="false"/>
          <w:bCs w:val="false"/>
          <w:color w:val="374151"/>
          <w:sz w:val="24"/>
          <w:szCs w:val="24"/>
        </w:rPr>
        <w:t xml:space="preserve">DCS scalability benchmark: Run DCS rounds for N = 10, 25, 50, 75, 100 UAVs. Record total round time. Plot DCS time vs. fleet size. Verify sub-140ms target is met for N = 100.</w:t>
      </w:r>
    </w:p>
    <w:p>
      <w:pPr>
        <w:pStyle w:val="ListParagraph"/>
        <w:numPr>
          <w:ilvl w:val="0"/>
          <w:numId w:val="3"/>
        </w:numPr>
        <w:spacing w:before="0" w:after="100"/>
      </w:pPr>
      <w:r>
        <w:rPr>
          <w:rFonts w:ascii="Arial" w:cs="Arial" w:eastAsia="Arial" w:hAnsi="Arial"/>
          <w:b w:val="false"/>
          <w:bCs w:val="false"/>
          <w:color w:val="374151"/>
          <w:sz w:val="24"/>
          <w:szCs w:val="24"/>
        </w:rPr>
        <w:t xml:space="preserve">Oracle latency benchmark: Run 200 prescription-to-verification round trips. Record distribution of oracle latencies. Compute mean, standard deviation, p95, and p99.</w:t>
      </w:r>
    </w:p>
    <w:p>
      <w:pPr>
        <w:pStyle w:val="ListParagraph"/>
        <w:numPr>
          <w:ilvl w:val="0"/>
          <w:numId w:val="3"/>
        </w:numPr>
        <w:spacing w:before="0" w:after="100"/>
      </w:pPr>
      <w:r>
        <w:rPr>
          <w:rFonts w:ascii="Arial" w:cs="Arial" w:eastAsia="Arial" w:hAnsi="Arial"/>
          <w:b w:val="false"/>
          <w:bCs w:val="false"/>
          <w:color w:val="374151"/>
          <w:sz w:val="24"/>
          <w:szCs w:val="24"/>
        </w:rPr>
        <w:t xml:space="preserve">Gas cost benchmark: Run hardhat-gas-reporter on all PDC functions. Record gas units for addRecord(), grantAccess(), revokeAccess(), submitOrder().</w:t>
      </w:r>
    </w:p>
    <w:p>
      <w:pPr>
        <w:pStyle w:val="ListParagraph"/>
        <w:numPr>
          <w:ilvl w:val="0"/>
          <w:numId w:val="3"/>
        </w:numPr>
        <w:spacing w:before="0" w:after="100"/>
      </w:pPr>
      <w:r>
        <w:rPr>
          <w:rFonts w:ascii="Arial" w:cs="Arial" w:eastAsia="Arial" w:hAnsi="Arial"/>
          <w:b w:val="false"/>
          <w:bCs w:val="false"/>
          <w:color w:val="374151"/>
          <w:sz w:val="24"/>
          <w:szCs w:val="24"/>
        </w:rPr>
        <w:t xml:space="preserve">Security test cases: (a) Submit duplicate rxHash to SC-5 — should revert; (b) Revoke HP consent and attempt addRecord() — should revert; (c) Submit DCS score with invalid signature — should be rejected in Phase 2.</w:t>
      </w:r>
    </w:p>
    <w:p>
      <w:pPr>
        <w:pStyle w:val="Heading3"/>
        <w:spacing w:before="200" w:after="80"/>
      </w:pPr>
      <w:r>
        <w:rPr>
          <w:rFonts w:ascii="Arial" w:cs="Arial" w:eastAsia="Arial" w:hAnsi="Arial"/>
          <w:b/>
          <w:bCs/>
          <w:color w:val="0E7490"/>
          <w:sz w:val="24"/>
          <w:szCs w:val="24"/>
        </w:rPr>
        <w:t xml:space="preserve">Phase 6 — Security Analysis (Week 14)</w:t>
      </w:r>
    </w:p>
    <w:p>
      <w:pPr>
        <w:spacing w:before="0" w:after="160"/>
        <w:jc w:val="both"/>
      </w:pPr>
      <w:r>
        <w:rPr>
          <w:rFonts w:ascii="Arial" w:cs="Arial" w:eastAsia="Arial" w:hAnsi="Arial"/>
          <w:b w:val="false"/>
          <w:bCs w:val="false"/>
          <w:i w:val="false"/>
          <w:iCs w:val="false"/>
          <w:color w:val="374151"/>
          <w:sz w:val="24"/>
          <w:szCs w:val="24"/>
        </w:rPr>
        <w:t xml:space="preserve">Phase 6 formally documents the security properties of DCBA and validates them through adversarial test cases. The output is the security analysis section of the research paper.</w:t>
      </w:r>
    </w:p>
    <w:p>
      <w:pPr>
        <w:pStyle w:val="ListParagraph"/>
        <w:numPr>
          <w:ilvl w:val="0"/>
          <w:numId w:val="3"/>
        </w:numPr>
        <w:spacing w:before="0" w:after="100"/>
      </w:pPr>
      <w:r>
        <w:rPr>
          <w:rFonts w:ascii="Arial" w:cs="Arial" w:eastAsia="Arial" w:hAnsi="Arial"/>
          <w:b w:val="false"/>
          <w:bCs w:val="false"/>
          <w:color w:val="374151"/>
          <w:sz w:val="24"/>
          <w:szCs w:val="24"/>
        </w:rPr>
        <w:t xml:space="preserve">Document each attack vector in Table 7.1 and provide the corresponding test case that demonstrates the mitigation works in the implementation.</w:t>
      </w:r>
    </w:p>
    <w:p>
      <w:pPr>
        <w:pStyle w:val="ListParagraph"/>
        <w:numPr>
          <w:ilvl w:val="0"/>
          <w:numId w:val="3"/>
        </w:numPr>
        <w:spacing w:before="0" w:after="100"/>
      </w:pPr>
      <w:r>
        <w:rPr>
          <w:rFonts w:ascii="Arial" w:cs="Arial" w:eastAsia="Arial" w:hAnsi="Arial"/>
          <w:b w:val="false"/>
          <w:bCs w:val="false"/>
          <w:color w:val="374151"/>
          <w:sz w:val="24"/>
          <w:szCs w:val="24"/>
        </w:rPr>
        <w:t xml:space="preserve">Run all security test cases on the deployed system and record pass/fail results.</w:t>
      </w:r>
    </w:p>
    <w:p>
      <w:pPr>
        <w:pStyle w:val="ListParagraph"/>
        <w:numPr>
          <w:ilvl w:val="0"/>
          <w:numId w:val="3"/>
        </w:numPr>
        <w:spacing w:before="0" w:after="100"/>
      </w:pPr>
      <w:r>
        <w:rPr>
          <w:rFonts w:ascii="Arial" w:cs="Arial" w:eastAsia="Arial" w:hAnsi="Arial"/>
          <w:b w:val="false"/>
          <w:bCs w:val="false"/>
          <w:color w:val="374151"/>
          <w:sz w:val="24"/>
          <w:szCs w:val="24"/>
        </w:rPr>
        <w:t xml:space="preserve">Compare DCBA's security properties against three benchmark papers from the related work section using the comparison matrix from Section 3.4.</w:t>
      </w:r>
    </w:p>
    <w:p>
      <w:pPr>
        <w:pStyle w:val="Heading3"/>
        <w:spacing w:before="200" w:after="80"/>
      </w:pPr>
      <w:r>
        <w:rPr>
          <w:rFonts w:ascii="Arial" w:cs="Arial" w:eastAsia="Arial" w:hAnsi="Arial"/>
          <w:b/>
          <w:bCs/>
          <w:color w:val="0E7490"/>
          <w:sz w:val="24"/>
          <w:szCs w:val="24"/>
        </w:rPr>
        <w:t xml:space="preserve">Phase 7 — Paper Writing (Parallel, Weeks 1–14)</w:t>
      </w:r>
    </w:p>
    <w:p>
      <w:pPr>
        <w:spacing w:before="0" w:after="160"/>
        <w:jc w:val="both"/>
      </w:pPr>
      <w:r>
        <w:rPr>
          <w:rFonts w:ascii="Arial" w:cs="Arial" w:eastAsia="Arial" w:hAnsi="Arial"/>
          <w:b w:val="false"/>
          <w:bCs w:val="false"/>
          <w:i w:val="false"/>
          <w:iCs w:val="false"/>
          <w:color w:val="374151"/>
          <w:sz w:val="24"/>
          <w:szCs w:val="24"/>
        </w:rPr>
        <w:t xml:space="preserve">Research paper writing proceeds in parallel with implementation phases, not sequentially after them. Each completed phase produces a section of the paper:</w:t>
      </w:r>
    </w:p>
    <w:p>
      <w:pPr>
        <w:pStyle w:val="ListParagraph"/>
        <w:numPr>
          <w:ilvl w:val="0"/>
          <w:numId w:val="3"/>
        </w:numPr>
        <w:spacing w:before="0" w:after="100"/>
      </w:pPr>
      <w:r>
        <w:rPr>
          <w:rFonts w:ascii="Arial" w:cs="Arial" w:eastAsia="Arial" w:hAnsi="Arial"/>
          <w:b w:val="false"/>
          <w:bCs w:val="false"/>
          <w:color w:val="374151"/>
          <w:sz w:val="24"/>
          <w:szCs w:val="24"/>
        </w:rPr>
        <w:t xml:space="preserve">Phase 0–1 completion → Section 5 (Smart Contract Design) and Section 8 (Implementation) drafts</w:t>
      </w:r>
    </w:p>
    <w:p>
      <w:pPr>
        <w:pStyle w:val="ListParagraph"/>
        <w:numPr>
          <w:ilvl w:val="0"/>
          <w:numId w:val="3"/>
        </w:numPr>
        <w:spacing w:before="0" w:after="100"/>
      </w:pPr>
      <w:r>
        <w:rPr>
          <w:rFonts w:ascii="Arial" w:cs="Arial" w:eastAsia="Arial" w:hAnsi="Arial"/>
          <w:b w:val="false"/>
          <w:bCs w:val="false"/>
          <w:color w:val="374151"/>
          <w:sz w:val="24"/>
          <w:szCs w:val="24"/>
        </w:rPr>
        <w:t xml:space="preserve">Phase 2–3 completion → Section 4 (Architecture) refinement and oracle bridge performance data</w:t>
      </w:r>
    </w:p>
    <w:p>
      <w:pPr>
        <w:pStyle w:val="ListParagraph"/>
        <w:numPr>
          <w:ilvl w:val="0"/>
          <w:numId w:val="3"/>
        </w:numPr>
        <w:spacing w:before="0" w:after="100"/>
      </w:pPr>
      <w:r>
        <w:rPr>
          <w:rFonts w:ascii="Arial" w:cs="Arial" w:eastAsia="Arial" w:hAnsi="Arial"/>
          <w:b w:val="false"/>
          <w:bCs w:val="false"/>
          <w:color w:val="374151"/>
          <w:sz w:val="24"/>
          <w:szCs w:val="24"/>
        </w:rPr>
        <w:t xml:space="preserve">Phase 4–5 completion → Section 9 (Performance Evaluation) with all tables and graphs</w:t>
      </w:r>
    </w:p>
    <w:p>
      <w:pPr>
        <w:pStyle w:val="ListParagraph"/>
        <w:numPr>
          <w:ilvl w:val="0"/>
          <w:numId w:val="3"/>
        </w:numPr>
        <w:spacing w:before="0" w:after="100"/>
      </w:pPr>
      <w:r>
        <w:rPr>
          <w:rFonts w:ascii="Arial" w:cs="Arial" w:eastAsia="Arial" w:hAnsi="Arial"/>
          <w:b w:val="false"/>
          <w:bCs w:val="false"/>
          <w:color w:val="374151"/>
          <w:sz w:val="24"/>
          <w:szCs w:val="24"/>
        </w:rPr>
        <w:t xml:space="preserve">Phase 6 completion → Section 7 (Security Analysis) with formal attack/mitigation documentation</w:t>
      </w:r>
    </w:p>
    <w:p>
      <w:pPr>
        <w:pStyle w:val="ListParagraph"/>
        <w:numPr>
          <w:ilvl w:val="0"/>
          <w:numId w:val="3"/>
        </w:numPr>
        <w:spacing w:before="0" w:after="100"/>
      </w:pPr>
      <w:r>
        <w:rPr>
          <w:rFonts w:ascii="Arial" w:cs="Arial" w:eastAsia="Arial" w:hAnsi="Arial"/>
          <w:b w:val="false"/>
          <w:bCs w:val="false"/>
          <w:color w:val="374151"/>
          <w:sz w:val="24"/>
          <w:szCs w:val="24"/>
        </w:rPr>
        <w:t xml:space="preserve">Final two weeks → Abstract revision, introduction polish, related work completion, conclusion</w:t>
      </w:r>
    </w:p>
    <w:p>
      <w:r>
        <w:br w:type="page"/>
      </w:r>
    </w:p>
    <w:p>
      <w:pPr>
        <w:pStyle w:val="Heading1"/>
        <w:pBdr>
          <w:bottom w:val="single" w:color="2E6DB4" w:sz="4" w:space="4"/>
        </w:pBdr>
        <w:spacing w:before="360" w:after="160"/>
      </w:pPr>
      <w:r>
        <w:rPr>
          <w:rFonts w:ascii="Arial" w:cs="Arial" w:eastAsia="Arial" w:hAnsi="Arial"/>
          <w:b/>
          <w:bCs/>
          <w:color w:val="1A3A6B"/>
          <w:sz w:val="32"/>
          <w:szCs w:val="32"/>
        </w:rPr>
        <w:t xml:space="preserve">9. Performance Benchmarking Methodology</w:t>
      </w:r>
    </w:p>
    <w:p>
      <w:pPr>
        <w:pStyle w:val="Heading2"/>
        <w:spacing w:before="280" w:after="120"/>
      </w:pPr>
      <w:r>
        <w:rPr>
          <w:rFonts w:ascii="Arial" w:cs="Arial" w:eastAsia="Arial" w:hAnsi="Arial"/>
          <w:b/>
          <w:bCs/>
          <w:color w:val="2E6DB4"/>
          <w:sz w:val="28"/>
          <w:szCs w:val="28"/>
        </w:rPr>
        <w:t xml:space="preserve">9.1 Benchmarking Philosophy</w:t>
      </w:r>
    </w:p>
    <w:p>
      <w:pPr>
        <w:spacing w:before="0" w:after="160"/>
        <w:jc w:val="both"/>
      </w:pPr>
      <w:r>
        <w:rPr>
          <w:rFonts w:ascii="Arial" w:cs="Arial" w:eastAsia="Arial" w:hAnsi="Arial"/>
          <w:b w:val="false"/>
          <w:bCs w:val="false"/>
          <w:i w:val="false"/>
          <w:iCs w:val="false"/>
          <w:color w:val="374151"/>
          <w:sz w:val="24"/>
          <w:szCs w:val="24"/>
        </w:rPr>
        <w:t xml:space="preserve">The DCBA benchmarking strategy follows the reproducible research principle: every performance claim made in the paper must be derived from a scripted, automatable benchmark that another researcher can run independently on comparable hardware and expect equivalent results. All benchmark configurations, test scripts, and raw results will be published alongside the paper as supplementary material.</w:t>
      </w:r>
    </w:p>
    <w:p>
      <w:pPr>
        <w:spacing w:before="0" w:after="160"/>
        <w:jc w:val="both"/>
      </w:pPr>
      <w:r>
        <w:rPr>
          <w:rFonts w:ascii="Arial" w:cs="Arial" w:eastAsia="Arial" w:hAnsi="Arial"/>
          <w:b w:val="false"/>
          <w:bCs w:val="false"/>
          <w:i w:val="false"/>
          <w:iCs w:val="false"/>
          <w:color w:val="374151"/>
          <w:sz w:val="24"/>
          <w:szCs w:val="24"/>
        </w:rPr>
        <w:t xml:space="preserve">Two distinct measurement frameworks are used, matched to their respective blockchain platforms: Hardhat's built-in gas reporter and transaction timing for the PDC (Ethereum environment), and Hyperledger Caliper for the UOC (Fabric environment). Python scripts with pandas/matplotlib are used for post-processing raw benchmark output into publication-quality tables and graphs.</w:t>
      </w:r>
    </w:p>
    <w:p>
      <w:pPr>
        <w:pStyle w:val="Heading2"/>
        <w:spacing w:before="280" w:after="120"/>
      </w:pPr>
      <w:r>
        <w:rPr>
          <w:rFonts w:ascii="Arial" w:cs="Arial" w:eastAsia="Arial" w:hAnsi="Arial"/>
          <w:b/>
          <w:bCs/>
          <w:color w:val="2E6DB4"/>
          <w:sz w:val="28"/>
          <w:szCs w:val="28"/>
        </w:rPr>
        <w:t xml:space="preserve">9.2 PDC Performance Metrics</w:t>
      </w:r>
    </w:p>
    <w:p>
      <w:pPr>
        <w:pStyle w:val="Heading3"/>
        <w:spacing w:before="200" w:after="80"/>
      </w:pPr>
      <w:r>
        <w:rPr>
          <w:rFonts w:ascii="Arial" w:cs="Arial" w:eastAsia="Arial" w:hAnsi="Arial"/>
          <w:b/>
          <w:bCs/>
          <w:color w:val="0E7490"/>
          <w:sz w:val="24"/>
          <w:szCs w:val="24"/>
        </w:rPr>
        <w:t xml:space="preserve">9.2.1 Gas Cost Analysis</w:t>
      </w:r>
    </w:p>
    <w:p>
      <w:pPr>
        <w:spacing w:before="0" w:after="160"/>
        <w:jc w:val="both"/>
      </w:pPr>
      <w:r>
        <w:rPr>
          <w:rFonts w:ascii="Arial" w:cs="Arial" w:eastAsia="Arial" w:hAnsi="Arial"/>
          <w:b w:val="false"/>
          <w:bCs w:val="false"/>
          <w:i w:val="false"/>
          <w:iCs w:val="false"/>
          <w:color w:val="374151"/>
          <w:sz w:val="24"/>
          <w:szCs w:val="24"/>
        </w:rPr>
        <w:t xml:space="preserve">Gas cost is the primary economic performance metric for Ethereum-compatible smart contracts. Even in a PoA network where gas is not priced in ETH, gas consumption serves as a proxy for computational complexity and helps identify functions that may become bottlenecks at higher transaction volumes. The following gas metrics will be measured for each PDC function:</w:t>
      </w:r>
    </w:p>
    <w:p>
      <w:pPr>
        <w:pStyle w:val="ListParagraph"/>
        <w:numPr>
          <w:ilvl w:val="0"/>
          <w:numId w:val="3"/>
        </w:numPr>
        <w:spacing w:before="0" w:after="100"/>
      </w:pPr>
      <w:r>
        <w:rPr>
          <w:rFonts w:ascii="Arial" w:cs="Arial" w:eastAsia="Arial" w:hAnsi="Arial"/>
          <w:b w:val="false"/>
          <w:bCs w:val="false"/>
          <w:color w:val="374151"/>
          <w:sz w:val="24"/>
          <w:szCs w:val="24"/>
        </w:rPr>
        <w:t xml:space="preserve">Deployment gas cost for each of the five PDC contracts (SC-1, SC-2, SC-3, SC-7, and their shared dependencies)</w:t>
      </w:r>
    </w:p>
    <w:p>
      <w:pPr>
        <w:pStyle w:val="ListParagraph"/>
        <w:numPr>
          <w:ilvl w:val="0"/>
          <w:numId w:val="3"/>
        </w:numPr>
        <w:spacing w:before="0" w:after="100"/>
      </w:pPr>
      <w:r>
        <w:rPr>
          <w:rFonts w:ascii="Arial" w:cs="Arial" w:eastAsia="Arial" w:hAnsi="Arial"/>
          <w:b w:val="false"/>
          <w:bCs w:val="false"/>
          <w:color w:val="374151"/>
          <w:sz w:val="24"/>
          <w:szCs w:val="24"/>
        </w:rPr>
        <w:t xml:space="preserve">Per-call gas cost for: SC-3.addRecord(), SC-2.grantAccess(), SC-2.revokeAccess(), SC-1.register(), SC-1.revoke(), SC-7.verifyHash()</w:t>
      </w:r>
    </w:p>
    <w:p>
      <w:pPr>
        <w:pStyle w:val="ListParagraph"/>
        <w:numPr>
          <w:ilvl w:val="0"/>
          <w:numId w:val="3"/>
        </w:numPr>
        <w:spacing w:before="0" w:after="100"/>
      </w:pPr>
      <w:r>
        <w:rPr>
          <w:rFonts w:ascii="Arial" w:cs="Arial" w:eastAsia="Arial" w:hAnsi="Arial"/>
          <w:b w:val="false"/>
          <w:bCs w:val="false"/>
          <w:color w:val="374151"/>
          <w:sz w:val="24"/>
          <w:szCs w:val="24"/>
        </w:rPr>
        <w:t xml:space="preserve">Comparison of gas costs before and after Solidity compiler optimisation (solc --optimize --runs 200)</w:t>
      </w:r>
    </w:p>
    <w:p>
      <w:pPr>
        <w:pStyle w:val="Heading3"/>
        <w:spacing w:before="200" w:after="80"/>
      </w:pPr>
      <w:r>
        <w:rPr>
          <w:rFonts w:ascii="Arial" w:cs="Arial" w:eastAsia="Arial" w:hAnsi="Arial"/>
          <w:b/>
          <w:bCs/>
          <w:color w:val="0E7490"/>
          <w:sz w:val="24"/>
          <w:szCs w:val="24"/>
        </w:rPr>
        <w:t xml:space="preserve">9.2.2 Transaction Latency and Throughput</w:t>
      </w:r>
    </w:p>
    <w:p>
      <w:pPr>
        <w:spacing w:before="0" w:after="160"/>
        <w:jc w:val="both"/>
      </w:pPr>
      <w:r>
        <w:rPr>
          <w:rFonts w:ascii="Arial" w:cs="Arial" w:eastAsia="Arial" w:hAnsi="Arial"/>
          <w:b w:val="false"/>
          <w:bCs w:val="false"/>
          <w:i w:val="false"/>
          <w:iCs w:val="false"/>
          <w:color w:val="374151"/>
          <w:sz w:val="24"/>
          <w:szCs w:val="24"/>
        </w:rPr>
        <w:t xml:space="preserve">Latency is measured as the wall-clock time between transaction submission (ethers.js sendTransaction() call) and transaction confirmation (receipt with blockNumber set). Throughput is measured as the number of confirmed transactions per second under sustained load. The following scenarios will be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3300"/>
      </w:tblGrid>
      <w:tr>
        <w:trPr>
          <w:tblHeader/>
        </w:trP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1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Concurrency</w:t>
            </w:r>
          </w:p>
        </w:tc>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Transactions</w:t>
            </w:r>
          </w:p>
        </w:tc>
        <w:tc>
          <w:tcPr>
            <w:tcW w:type="dxa" w:w="33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 Captured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SC-3 addRecord baseline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1 sender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500 txns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Latency distribution, mean, p95, p99</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SC-3 addRecord load test</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5, 10, 25 senders</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1000 txns each</w:t>
            </w:r>
          </w:p>
        </w:tc>
        <w:tc>
          <w:tcPr>
            <w:tcW w:type="dxa" w:w="3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TPS, latency under concurrency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SC-2 consent lifecycle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10 senders (patient-HP pairs)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200 grant + 200 revoke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Latency for consent operations</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SC-7 oracle verification</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1 sender (sequential)</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200 verifications</w:t>
            </w:r>
          </w:p>
        </w:tc>
        <w:tc>
          <w:tcPr>
            <w:tcW w:type="dxa" w:w="3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Round-trip latency distribution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Mixed workload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10 senders (mixed operations)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1000 txns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Overall PDC TPS under realistic load</w:t>
            </w:r>
          </w:p>
        </w:tc>
      </w:tr>
    </w:tbl>
    <w:p>
      <w:pPr>
        <w:spacing w:before="80" w:after="200"/>
        <w:jc w:val="center"/>
      </w:pPr>
      <w:r>
        <w:rPr>
          <w:rFonts w:ascii="Arial" w:cs="Arial" w:eastAsia="Arial" w:hAnsi="Arial"/>
          <w:i/>
          <w:iCs/>
          <w:color w:val="6B7280"/>
          <w:sz w:val="20"/>
          <w:szCs w:val="20"/>
        </w:rPr>
        <w:t xml:space="preserve">Table 9.1: PDC Benchmarking Scenarios</w:t>
      </w:r>
    </w:p>
    <w:p>
      <w:pPr>
        <w:pStyle w:val="Heading2"/>
        <w:spacing w:before="280" w:after="120"/>
      </w:pPr>
      <w:r>
        <w:rPr>
          <w:rFonts w:ascii="Arial" w:cs="Arial" w:eastAsia="Arial" w:hAnsi="Arial"/>
          <w:b/>
          <w:bCs/>
          <w:color w:val="2E6DB4"/>
          <w:sz w:val="28"/>
          <w:szCs w:val="28"/>
        </w:rPr>
        <w:t xml:space="preserve">9.3 UOC Performance Metrics (Hyperledger Caliper)</w:t>
      </w:r>
    </w:p>
    <w:p>
      <w:pPr>
        <w:spacing w:before="0" w:after="160"/>
        <w:jc w:val="both"/>
      </w:pPr>
      <w:r>
        <w:rPr>
          <w:rFonts w:ascii="Arial" w:cs="Arial" w:eastAsia="Arial" w:hAnsi="Arial"/>
          <w:b w:val="false"/>
          <w:bCs w:val="false"/>
          <w:i w:val="false"/>
          <w:iCs w:val="false"/>
          <w:color w:val="374151"/>
          <w:sz w:val="24"/>
          <w:szCs w:val="24"/>
        </w:rPr>
        <w:t xml:space="preserve">Hyperledger Caliper is the official benchmarking tool for Hyperledger projects. It accepts a declarative YAML configuration defining the network under test, the workload (transaction type and rate), and the observation duration. Caliper produces structured reports with per-round statistics including TPS, average send rate, average latency, minimum latency, maximum latency, and failure rate.</w:t>
      </w:r>
    </w:p>
    <w:p>
      <w:pPr>
        <w:spacing w:before="0" w:after="160"/>
        <w:jc w:val="both"/>
      </w:pPr>
      <w:r>
        <w:rPr>
          <w:rFonts w:ascii="Arial" w:cs="Arial" w:eastAsia="Arial" w:hAnsi="Arial"/>
          <w:b w:val="false"/>
          <w:bCs w:val="false"/>
          <w:i w:val="false"/>
          <w:iCs w:val="false"/>
          <w:color w:val="374151"/>
          <w:sz w:val="24"/>
          <w:szCs w:val="24"/>
        </w:rPr>
        <w:t xml:space="preserve">The following Caliper benchmark rounds will be executed: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1200"/>
        <w:gridCol w:w="2900"/>
      </w:tblGrid>
      <w:tr>
        <w:trPr>
          <w:tblHeader/>
        </w:trP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Caliper Round</w:t>
            </w:r>
          </w:p>
        </w:tc>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Chaincode Function</w:t>
            </w:r>
          </w:p>
        </w:tc>
        <w:tc>
          <w:tcPr>
            <w:tcW w:type="dxa" w:w="1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TPS</w:t>
            </w:r>
          </w:p>
        </w:tc>
        <w:tc>
          <w:tcPr>
            <w:tcW w:type="dxa" w:w="1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29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Round 1: GPS logging baseline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SC-6 logGPS()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100 TPS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60 seconds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TPS, avg latency, failure rate</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Round 2: GPS logging stress</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SC-6 logGPS()</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500, 1000, 2000 TPS</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30 seconds each</w:t>
            </w:r>
          </w:p>
        </w:tc>
        <w:tc>
          <w:tcPr>
            <w:tcW w:type="dxa" w:w="2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TPS saturation point, latency degradation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Round 3: DCS submission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SC-4 submitScore()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50–100 TPS (fleet simulation)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30 seconds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Throughput per UAV count</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Round 4: Delivery order creation</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SC-5 submitOrder()</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50 TPS</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60 seconds</w:t>
            </w:r>
          </w:p>
        </w:tc>
        <w:tc>
          <w:tcPr>
            <w:tcW w:type="dxa" w:w="2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TPS, latency, PARS assignment accuracy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Round 5: Mixed delivery lifecycle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All SC-4/5/6 functions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200 TPS total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120 seconds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End-to-end delivery throughput</w:t>
            </w:r>
          </w:p>
        </w:tc>
      </w:tr>
    </w:tbl>
    <w:p>
      <w:pPr>
        <w:spacing w:before="80" w:after="200"/>
        <w:jc w:val="center"/>
      </w:pPr>
      <w:r>
        <w:rPr>
          <w:rFonts w:ascii="Arial" w:cs="Arial" w:eastAsia="Arial" w:hAnsi="Arial"/>
          <w:i/>
          <w:iCs/>
          <w:color w:val="6B7280"/>
          <w:sz w:val="20"/>
          <w:szCs w:val="20"/>
        </w:rPr>
        <w:t xml:space="preserve">Table 9.2: Hyperledger Caliper Benchmark Rounds for UOC</w:t>
      </w:r>
    </w:p>
    <w:p>
      <w:pPr>
        <w:pStyle w:val="Heading2"/>
        <w:spacing w:before="280" w:after="120"/>
      </w:pPr>
      <w:r>
        <w:rPr>
          <w:rFonts w:ascii="Arial" w:cs="Arial" w:eastAsia="Arial" w:hAnsi="Arial"/>
          <w:b/>
          <w:bCs/>
          <w:color w:val="2E6DB4"/>
          <w:sz w:val="28"/>
          <w:szCs w:val="28"/>
        </w:rPr>
        <w:t xml:space="preserve">9.4 DCS Scalability Benchmark</w:t>
      </w:r>
    </w:p>
    <w:p>
      <w:pPr>
        <w:spacing w:before="0" w:after="160"/>
        <w:jc w:val="both"/>
      </w:pPr>
      <w:r>
        <w:rPr>
          <w:rFonts w:ascii="Arial" w:cs="Arial" w:eastAsia="Arial" w:hAnsi="Arial"/>
          <w:b w:val="false"/>
          <w:bCs w:val="false"/>
          <w:i w:val="false"/>
          <w:iCs w:val="false"/>
          <w:color w:val="374151"/>
          <w:sz w:val="24"/>
          <w:szCs w:val="24"/>
        </w:rPr>
        <w:t xml:space="preserve">The DCS scalability benchmark measures the total time from Drone Station issuing openRound() to getWinner() returning a valid result, as a function of the number of competing UAVs. This is the core performance benchmark for the DCS algorithm's claimed sub-140ms target.</w:t>
      </w:r>
    </w:p>
    <w:p>
      <w:pPr>
        <w:spacing w:before="0" w:after="160"/>
        <w:jc w:val="both"/>
      </w:pPr>
      <w:r>
        <w:rPr>
          <w:rFonts w:ascii="Arial" w:cs="Arial" w:eastAsia="Arial" w:hAnsi="Arial"/>
          <w:b w:val="false"/>
          <w:bCs w:val="false"/>
          <w:i w:val="false"/>
          <w:iCs w:val="false"/>
          <w:color w:val="374151"/>
          <w:sz w:val="24"/>
          <w:szCs w:val="24"/>
        </w:rPr>
        <w:t xml:space="preserve">The measurement methodology: (1) Docker Compose launches N UAV containers simultaneously; (2) DS calls openRound() and records timestamp T₀; (3) All N UAVs submit scores concurrently; (4) DS calls closeRound() and records timestamp T₁ when the winner is determined; (5) Round time = T₁ − T₀. This measurement is repeated 50 times for each fleet size, and the mean, standard deviation, minimum, and maximum are 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2200"/>
      </w:tblGrid>
      <w:tr>
        <w:trPr>
          <w:tblHeader/>
        </w:trPr>
        <w:tc>
          <w:tcPr>
            <w:tcW w:type="dxa" w:w="1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Fleet Size (N)</w:t>
            </w:r>
          </w:p>
        </w:tc>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Mean Round Time</w:t>
            </w:r>
          </w:p>
        </w:tc>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Bloom Filter Savings</w:t>
            </w:r>
          </w:p>
        </w:tc>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10 UAVs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~20–30 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Minimal (small fleet)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&lt; 50 ms</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25 UAVs</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~40–60 ms</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~15% reduction vs no filter</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&lt; 80 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50 UAVs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~70–100 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~25% reduction vs no filter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&lt; 120 ms</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75 UAVs</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~100–120 ms</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~30% reduction vs no filter</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&lt; 130 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100 UAVs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~120–140 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~35% reduction vs no filter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&lt; 140 ms</w:t>
            </w:r>
          </w:p>
        </w:tc>
      </w:tr>
    </w:tbl>
    <w:p>
      <w:pPr>
        <w:spacing w:before="80" w:after="200"/>
        <w:jc w:val="center"/>
      </w:pPr>
      <w:r>
        <w:rPr>
          <w:rFonts w:ascii="Arial" w:cs="Arial" w:eastAsia="Arial" w:hAnsi="Arial"/>
          <w:i/>
          <w:iCs/>
          <w:color w:val="6B7280"/>
          <w:sz w:val="20"/>
          <w:szCs w:val="20"/>
        </w:rPr>
        <w:t xml:space="preserve">Table 9.3: DCS Scalability Benchmark Target Values</w:t>
      </w:r>
    </w:p>
    <w:p>
      <w:pPr>
        <w:pStyle w:val="Heading2"/>
        <w:spacing w:before="280" w:after="120"/>
      </w:pPr>
      <w:r>
        <w:rPr>
          <w:rFonts w:ascii="Arial" w:cs="Arial" w:eastAsia="Arial" w:hAnsi="Arial"/>
          <w:b/>
          <w:bCs/>
          <w:color w:val="2E6DB4"/>
          <w:sz w:val="28"/>
          <w:szCs w:val="28"/>
        </w:rPr>
        <w:t xml:space="preserve">9.5 Security Benchmark — Adversarial Test Cases</w:t>
      </w:r>
    </w:p>
    <w:p>
      <w:pPr>
        <w:spacing w:before="0" w:after="160"/>
        <w:jc w:val="both"/>
      </w:pPr>
      <w:r>
        <w:rPr>
          <w:rFonts w:ascii="Arial" w:cs="Arial" w:eastAsia="Arial" w:hAnsi="Arial"/>
          <w:b w:val="false"/>
          <w:bCs w:val="false"/>
          <w:i w:val="false"/>
          <w:iCs w:val="false"/>
          <w:color w:val="374151"/>
          <w:sz w:val="24"/>
          <w:szCs w:val="24"/>
        </w:rPr>
        <w:t xml:space="preserve">Security properties are validated through automated adversarial test cases. Each test case attempts a specific attack and verifies that the system correctly rejects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3500"/>
      </w:tblGrid>
      <w:tr>
        <w:trPr>
          <w:tblHeader/>
        </w:trPr>
        <w:tc>
          <w:tcPr>
            <w:tcW w:type="dxa" w:w="1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Attack Attempted</w:t>
            </w:r>
          </w:p>
        </w:tc>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Result</w:t>
            </w:r>
          </w:p>
        </w:tc>
        <w:tc>
          <w:tcPr>
            <w:tcW w:type="dxa" w:w="3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Verification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TC-SEC-01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Submit duplicate rxHash to SC-5.submitOrder() after first use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Transaction REVERTS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SC-7 returns false; SC-5 requires() fails</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TC-SEC-02</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HP calls SC-3.addRecord() after patient calls SC-2.revokeAccess()</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Transaction REVERTS</w:t>
            </w:r>
          </w:p>
        </w:tc>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SC-2.hasAccess() returns false; SC-3 requires() fails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TC-SEC-03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Unregistered address calls SC-3.addRecord()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Transaction REVERTS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SC-1.isActive() returns false; SC-3 requires() fails</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TC-SEC-04</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UAV submits DCS score with invalid signature</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Score REJECTED in Phase 2</w:t>
            </w:r>
          </w:p>
        </w:tc>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SC-4 Phase 2 verification returns false; score dropped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TC-SEC-05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Unregistered UAV DID submits DCS 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Score REJECTED in Phase 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Bloom filter returns false; score dropped immediately</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TC-SEC-06</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Non-patient address calls SC-6.confirmDelivery()</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Transaction REVERTS</w:t>
            </w:r>
          </w:p>
        </w:tc>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msg.sender != patient; SC-6 requires() fails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TC-SEC-07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Non-SC-3 address calls SC-7.registerHash()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Transaction REVERTS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msg.sender != sc3Address; SC-7 requires() fails</w:t>
            </w:r>
          </w:p>
        </w:tc>
      </w:tr>
    </w:tbl>
    <w:p>
      <w:pPr>
        <w:spacing w:before="80" w:after="200"/>
        <w:jc w:val="center"/>
      </w:pPr>
      <w:r>
        <w:rPr>
          <w:rFonts w:ascii="Arial" w:cs="Arial" w:eastAsia="Arial" w:hAnsi="Arial"/>
          <w:i/>
          <w:iCs/>
          <w:color w:val="6B7280"/>
          <w:sz w:val="20"/>
          <w:szCs w:val="20"/>
        </w:rPr>
        <w:t xml:space="preserve">Table 9.4: Security Test Cases</w:t>
      </w:r>
    </w:p>
    <w:p>
      <w:pPr>
        <w:pStyle w:val="Heading2"/>
        <w:spacing w:before="280" w:after="120"/>
      </w:pPr>
      <w:r>
        <w:rPr>
          <w:rFonts w:ascii="Arial" w:cs="Arial" w:eastAsia="Arial" w:hAnsi="Arial"/>
          <w:b/>
          <w:bCs/>
          <w:color w:val="2E6DB4"/>
          <w:sz w:val="28"/>
          <w:szCs w:val="28"/>
        </w:rPr>
        <w:t xml:space="preserve">9.6 Comparative Analysis Framework</w:t>
      </w:r>
    </w:p>
    <w:p>
      <w:pPr>
        <w:spacing w:before="0" w:after="160"/>
        <w:jc w:val="both"/>
      </w:pPr>
      <w:r>
        <w:rPr>
          <w:rFonts w:ascii="Arial" w:cs="Arial" w:eastAsia="Arial" w:hAnsi="Arial"/>
          <w:b w:val="false"/>
          <w:bCs w:val="false"/>
          <w:i w:val="false"/>
          <w:iCs w:val="false"/>
          <w:color w:val="374151"/>
          <w:sz w:val="24"/>
          <w:szCs w:val="24"/>
        </w:rPr>
        <w:t xml:space="preserve">DCBA's performance and security will be contextualised by comparison against three representative prior systems identified in the literature review. For each comparison system, the following properties will be assessed using a standardised binary or qualitative scale:</w:t>
      </w:r>
    </w:p>
    <w:p>
      <w:pPr>
        <w:pStyle w:val="ListParagraph"/>
        <w:numPr>
          <w:ilvl w:val="0"/>
          <w:numId w:val="3"/>
        </w:numPr>
        <w:spacing w:before="0" w:after="100"/>
      </w:pPr>
      <w:r>
        <w:rPr>
          <w:rFonts w:ascii="Arial" w:cs="Arial" w:eastAsia="Arial" w:hAnsi="Arial"/>
          <w:b w:val="false"/>
          <w:bCs w:val="false"/>
          <w:color w:val="374151"/>
          <w:sz w:val="24"/>
          <w:szCs w:val="24"/>
        </w:rPr>
        <w:t xml:space="preserve">Privacy: Does the system provide cryptographic patient data sovereignty, or is privacy only policy-based?</w:t>
      </w:r>
    </w:p>
    <w:p>
      <w:pPr>
        <w:pStyle w:val="ListParagraph"/>
        <w:numPr>
          <w:ilvl w:val="0"/>
          <w:numId w:val="3"/>
        </w:numPr>
        <w:spacing w:before="0" w:after="100"/>
      </w:pPr>
      <w:r>
        <w:rPr>
          <w:rFonts w:ascii="Arial" w:cs="Arial" w:eastAsia="Arial" w:hAnsi="Arial"/>
          <w:b w:val="false"/>
          <w:bCs w:val="false"/>
          <w:color w:val="374151"/>
          <w:sz w:val="24"/>
          <w:szCs w:val="24"/>
        </w:rPr>
        <w:t xml:space="preserve">Performance: What is the reported or derivable TPS for the most transaction-intensive operation (equivalent to GPS logging in DCBA)?</w:t>
      </w:r>
    </w:p>
    <w:p>
      <w:pPr>
        <w:pStyle w:val="ListParagraph"/>
        <w:numPr>
          <w:ilvl w:val="0"/>
          <w:numId w:val="3"/>
        </w:numPr>
        <w:spacing w:before="0" w:after="100"/>
      </w:pPr>
      <w:r>
        <w:rPr>
          <w:rFonts w:ascii="Arial" w:cs="Arial" w:eastAsia="Arial" w:hAnsi="Arial"/>
          <w:b w:val="false"/>
          <w:bCs w:val="false"/>
          <w:color w:val="374151"/>
          <w:sz w:val="24"/>
          <w:szCs w:val="24"/>
        </w:rPr>
        <w:t xml:space="preserve">Security: Does the system provide hardware-bound device identity, replay prevention, and zero-trust verification?</w:t>
      </w:r>
    </w:p>
    <w:p>
      <w:pPr>
        <w:pStyle w:val="ListParagraph"/>
        <w:numPr>
          <w:ilvl w:val="0"/>
          <w:numId w:val="3"/>
        </w:numPr>
        <w:spacing w:before="0" w:after="100"/>
      </w:pPr>
      <w:r>
        <w:rPr>
          <w:rFonts w:ascii="Arial" w:cs="Arial" w:eastAsia="Arial" w:hAnsi="Arial"/>
          <w:b w:val="false"/>
          <w:bCs w:val="false"/>
          <w:color w:val="374151"/>
          <w:sz w:val="24"/>
          <w:szCs w:val="24"/>
        </w:rPr>
        <w:t xml:space="preserve">Completeness: Does the system address the full pharmaceutical delivery pipeline from prescription through delivery confirmation?</w:t>
      </w:r>
    </w:p>
    <w:p>
      <w:r>
        <w:br w:type="page"/>
      </w:r>
    </w:p>
    <w:p>
      <w:pPr>
        <w:pStyle w:val="Heading1"/>
        <w:pBdr>
          <w:bottom w:val="single" w:color="2E6DB4" w:sz="4" w:space="4"/>
        </w:pBdr>
        <w:spacing w:before="360" w:after="160"/>
      </w:pPr>
      <w:r>
        <w:rPr>
          <w:rFonts w:ascii="Arial" w:cs="Arial" w:eastAsia="Arial" w:hAnsi="Arial"/>
          <w:b/>
          <w:bCs/>
          <w:color w:val="1A3A6B"/>
          <w:sz w:val="32"/>
          <w:szCs w:val="32"/>
        </w:rPr>
        <w:t xml:space="preserve">10. Expected Results and Research Contributions</w:t>
      </w:r>
    </w:p>
    <w:p>
      <w:pPr>
        <w:pStyle w:val="Heading2"/>
        <w:spacing w:before="280" w:after="120"/>
      </w:pPr>
      <w:r>
        <w:rPr>
          <w:rFonts w:ascii="Arial" w:cs="Arial" w:eastAsia="Arial" w:hAnsi="Arial"/>
          <w:b/>
          <w:bCs/>
          <w:color w:val="2E6DB4"/>
          <w:sz w:val="28"/>
          <w:szCs w:val="28"/>
        </w:rPr>
        <w:t xml:space="preserve">10.1 Quantitative Performance Targets</w:t>
      </w:r>
    </w:p>
    <w:p>
      <w:pPr>
        <w:spacing w:before="0" w:after="160"/>
        <w:jc w:val="both"/>
      </w:pPr>
      <w:r>
        <w:rPr>
          <w:rFonts w:ascii="Arial" w:cs="Arial" w:eastAsia="Arial" w:hAnsi="Arial"/>
          <w:b w:val="false"/>
          <w:bCs w:val="false"/>
          <w:i w:val="false"/>
          <w:iCs w:val="false"/>
          <w:color w:val="374151"/>
          <w:sz w:val="24"/>
          <w:szCs w:val="24"/>
        </w:rPr>
        <w:t xml:space="preserve">Based on the system design, algorithmic analysis, and preliminary benchmarking literature, the following quantitative performance targets are projected. These constitute the falsifiable claims of the DCBA research paper — if the implementation does not achieve these targets, the design must be revisited.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2900"/>
      </w:tblGrid>
      <w:tr>
        <w:trPr>
          <w:tblHeader/>
        </w:trPr>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Value</w:t>
            </w:r>
          </w:p>
        </w:tc>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 Method</w:t>
            </w:r>
          </w:p>
        </w:tc>
        <w:tc>
          <w:tcPr>
            <w:tcW w:type="dxa" w:w="29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DCS selection time (100 UAVs)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&lt; 140 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Wall-clock timer (Phase 4 simulation)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Bloom filter O(1) pre-screening + ECDSA verification on modern hardware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Oracle latency (PDC→UOC)</w:t>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&lt; 10 s (target ~5.4 s)</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Instrumented relay timestamps (Phase 3)</w:t>
            </w:r>
          </w:p>
        </w:tc>
        <w:tc>
          <w:tcPr>
            <w:tcW w:type="dxa" w:w="2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Ethereum PoA block time ~2s + Fabric commit ~3s + relay overhead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UOC GPS logging throughput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&gt; 1000 TPS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Hyperledger Caliper (Phase 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Fabric Raft with 3-org endorsement, optimised Go chaincode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PDC addRecord latency</w:t>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&lt; 5 s (target ~2 s)</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Hardhat transaction receipt timing (Phase 1)</w:t>
            </w:r>
          </w:p>
        </w:tc>
        <w:tc>
          <w:tcPr>
            <w:tcW w:type="dxa" w:w="2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Ethereum PoA 2-second block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SC-7 replay prevention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100% (0 replays accepted)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Adversarial test TC-SEC-01 (Phase 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Deterministic state machine; USED status check is atomic</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Consent revocation enforcement</w:t>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100% (0 post-revoke writes)</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Adversarial test TC-SEC-02 (Phase 5)</w:t>
            </w:r>
          </w:p>
        </w:tc>
        <w:tc>
          <w:tcPr>
            <w:tcW w:type="dxa" w:w="2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SC-2.hasAccess() read in SC-3.addRecord() before any state 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PARS SLA deadline accuracy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100% (deadlines match tier spec)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SC-5 unit test (Phase 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Deterministic getSLASeconds() function</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Bloom filter false positive rate</w:t>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&lt; 2%</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Statistical analysis over 10,000 lookups (Phase 4)</w:t>
            </w:r>
          </w:p>
        </w:tc>
        <w:tc>
          <w:tcPr>
            <w:tcW w:type="dxa" w:w="2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color w:val="374151"/>
                <w:sz w:val="20"/>
                <w:szCs w:val="20"/>
              </w:rPr>
              <w:t xml:space="preserve">Theoretical ε for 100 UAVs, m=1024, k=7 hash functions</w:t>
            </w:r>
          </w:p>
        </w:tc>
      </w:tr>
    </w:tbl>
    <w:p>
      <w:pPr>
        <w:spacing w:before="80" w:after="200"/>
        <w:jc w:val="center"/>
      </w:pPr>
      <w:r>
        <w:rPr>
          <w:rFonts w:ascii="Arial" w:cs="Arial" w:eastAsia="Arial" w:hAnsi="Arial"/>
          <w:i/>
          <w:iCs/>
          <w:color w:val="6B7280"/>
          <w:sz w:val="20"/>
          <w:szCs w:val="20"/>
        </w:rPr>
        <w:t xml:space="preserve">Table 10.1: Quantitative Performance Targets for DCBA</w:t>
      </w:r>
    </w:p>
    <w:p>
      <w:pPr>
        <w:pStyle w:val="Heading2"/>
        <w:spacing w:before="280" w:after="120"/>
      </w:pPr>
      <w:r>
        <w:rPr>
          <w:rFonts w:ascii="Arial" w:cs="Arial" w:eastAsia="Arial" w:hAnsi="Arial"/>
          <w:b/>
          <w:bCs/>
          <w:color w:val="2E6DB4"/>
          <w:sz w:val="28"/>
          <w:szCs w:val="28"/>
        </w:rPr>
        <w:t xml:space="preserve">10.2 Research Contributions</w:t>
      </w:r>
    </w:p>
    <w:p>
      <w:pPr>
        <w:spacing w:before="0" w:after="160"/>
        <w:jc w:val="both"/>
      </w:pPr>
      <w:r>
        <w:rPr>
          <w:rFonts w:ascii="Arial" w:cs="Arial" w:eastAsia="Arial" w:hAnsi="Arial"/>
          <w:b w:val="false"/>
          <w:bCs w:val="false"/>
          <w:i w:val="false"/>
          <w:iCs w:val="false"/>
          <w:color w:val="374151"/>
          <w:sz w:val="24"/>
          <w:szCs w:val="24"/>
        </w:rPr>
        <w:t xml:space="preserve">Upon completion, DCBA will contribute the following to the body of knowledge in blockchain-based healthcare and UAV delivery systems:</w:t>
      </w:r>
    </w:p>
    <w:p>
      <w:pPr>
        <w:pStyle w:val="ListParagraph"/>
        <w:numPr>
          <w:ilvl w:val="0"/>
          <w:numId w:val="2"/>
        </w:numPr>
        <w:spacing w:before="0" w:after="100"/>
      </w:pPr>
      <w:r>
        <w:rPr>
          <w:rFonts w:ascii="Arial" w:cs="Arial" w:eastAsia="Arial" w:hAnsi="Arial"/>
          <w:b w:val="false"/>
          <w:bCs w:val="false"/>
          <w:color w:val="374151"/>
          <w:sz w:val="24"/>
          <w:szCs w:val="24"/>
        </w:rPr>
        <w:t xml:space="preserve">A formal dual-chain architecture specification for healthcare blockchain systems that separates patient data privacy requirements from IoT operational throughput requirements, providing a reusable architectural pattern for future research.</w:t>
      </w:r>
    </w:p>
    <w:p>
      <w:pPr>
        <w:pStyle w:val="ListParagraph"/>
        <w:numPr>
          <w:ilvl w:val="0"/>
          <w:numId w:val="2"/>
        </w:numPr>
        <w:spacing w:before="0" w:after="100"/>
      </w:pPr>
      <w:r>
        <w:rPr>
          <w:rFonts w:ascii="Arial" w:cs="Arial" w:eastAsia="Arial" w:hAnsi="Arial"/>
          <w:b w:val="false"/>
          <w:bCs w:val="false"/>
          <w:color w:val="374151"/>
          <w:sz w:val="24"/>
          <w:szCs w:val="24"/>
        </w:rPr>
        <w:t xml:space="preserve">An empirical performance analysis of Hyperledger Fabric for high-frequency IoT telemetry (GPS logging at 1-second intervals for UAV fleets), filling a specific gap in the Fabric IoT benchmarking literature.</w:t>
      </w:r>
    </w:p>
    <w:p>
      <w:pPr>
        <w:pStyle w:val="ListParagraph"/>
        <w:numPr>
          <w:ilvl w:val="0"/>
          <w:numId w:val="2"/>
        </w:numPr>
        <w:spacing w:before="0" w:after="100"/>
      </w:pPr>
      <w:r>
        <w:rPr>
          <w:rFonts w:ascii="Arial" w:cs="Arial" w:eastAsia="Arial" w:hAnsi="Arial"/>
          <w:b w:val="false"/>
          <w:bCs w:val="false"/>
          <w:color w:val="374151"/>
          <w:sz w:val="24"/>
          <w:szCs w:val="24"/>
        </w:rPr>
        <w:t xml:space="preserve">The first published implementation and performance measurement of hardware-bound W3C DIDs for UAV devices in a blockchain context, extending the W3C DID specification to IoT-constrained hardware.</w:t>
      </w:r>
    </w:p>
    <w:p>
      <w:pPr>
        <w:pStyle w:val="ListParagraph"/>
        <w:numPr>
          <w:ilvl w:val="0"/>
          <w:numId w:val="2"/>
        </w:numPr>
        <w:spacing w:before="0" w:after="100"/>
      </w:pPr>
      <w:r>
        <w:rPr>
          <w:rFonts w:ascii="Arial" w:cs="Arial" w:eastAsia="Arial" w:hAnsi="Arial"/>
          <w:b w:val="false"/>
          <w:bCs w:val="false"/>
          <w:color w:val="374151"/>
          <w:sz w:val="24"/>
          <w:szCs w:val="24"/>
        </w:rPr>
        <w:t xml:space="preserve">A two-phase DCS UAV selection algorithm with formally analysed time complexity and empirically validated scalability to 100-UAV fleets, providing a reproducible baseline for future UAV task assignment research.</w:t>
      </w:r>
    </w:p>
    <w:p>
      <w:pPr>
        <w:pStyle w:val="ListParagraph"/>
        <w:numPr>
          <w:ilvl w:val="0"/>
          <w:numId w:val="2"/>
        </w:numPr>
        <w:spacing w:before="0" w:after="100"/>
      </w:pPr>
      <w:r>
        <w:rPr>
          <w:rFonts w:ascii="Arial" w:cs="Arial" w:eastAsia="Arial" w:hAnsi="Arial"/>
          <w:b w:val="false"/>
          <w:bCs w:val="false"/>
          <w:color w:val="374151"/>
          <w:sz w:val="24"/>
          <w:szCs w:val="24"/>
        </w:rPr>
        <w:t xml:space="preserve">A clinical priority-to-blockchain-SLA mapping framework (PARS) that formally connects medical urgency classifications to on-chain delivery deadline enforcement, bridging the gap between clinical informatics and smart contract design.</w:t>
      </w:r>
    </w:p>
    <w:p>
      <w:pPr>
        <w:pStyle w:val="ListParagraph"/>
        <w:numPr>
          <w:ilvl w:val="0"/>
          <w:numId w:val="2"/>
        </w:numPr>
        <w:spacing w:before="0" w:after="100"/>
      </w:pPr>
      <w:r>
        <w:rPr>
          <w:rFonts w:ascii="Arial" w:cs="Arial" w:eastAsia="Arial" w:hAnsi="Arial"/>
          <w:b w:val="false"/>
          <w:bCs w:val="false"/>
          <w:color w:val="374151"/>
          <w:sz w:val="24"/>
          <w:szCs w:val="24"/>
        </w:rPr>
        <w:t xml:space="preserve">Open-source implementation of all seven smart contracts and the Node.js oracle relay service, enabling direct replication, extension, and comparison by future researchers.</w:t>
      </w:r>
    </w:p>
    <w:p>
      <w:r>
        <w:br w:type="page"/>
      </w:r>
    </w:p>
    <w:p>
      <w:pPr>
        <w:pStyle w:val="Heading1"/>
        <w:pBdr>
          <w:bottom w:val="single" w:color="2E6DB4" w:sz="4" w:space="4"/>
        </w:pBdr>
        <w:spacing w:before="360" w:after="160"/>
      </w:pPr>
      <w:r>
        <w:rPr>
          <w:rFonts w:ascii="Arial" w:cs="Arial" w:eastAsia="Arial" w:hAnsi="Arial"/>
          <w:b/>
          <w:bCs/>
          <w:color w:val="1A3A6B"/>
          <w:sz w:val="32"/>
          <w:szCs w:val="32"/>
        </w:rPr>
        <w:t xml:space="preserve">11. Conclusion and Future Work</w:t>
      </w:r>
    </w:p>
    <w:p>
      <w:pPr>
        <w:pStyle w:val="Heading2"/>
        <w:spacing w:before="280" w:after="120"/>
      </w:pPr>
      <w:r>
        <w:rPr>
          <w:rFonts w:ascii="Arial" w:cs="Arial" w:eastAsia="Arial" w:hAnsi="Arial"/>
          <w:b/>
          <w:bCs/>
          <w:color w:val="2E6DB4"/>
          <w:sz w:val="28"/>
          <w:szCs w:val="28"/>
        </w:rPr>
        <w:t xml:space="preserve">11.1 Summary</w:t>
      </w:r>
    </w:p>
    <w:p>
      <w:pPr>
        <w:spacing w:before="0" w:after="160"/>
        <w:jc w:val="both"/>
      </w:pPr>
      <w:r>
        <w:rPr>
          <w:rFonts w:ascii="Arial" w:cs="Arial" w:eastAsia="Arial" w:hAnsi="Arial"/>
          <w:b w:val="false"/>
          <w:bCs w:val="false"/>
          <w:i w:val="false"/>
          <w:iCs w:val="false"/>
          <w:color w:val="374151"/>
          <w:sz w:val="24"/>
          <w:szCs w:val="24"/>
        </w:rPr>
        <w:t xml:space="preserve">This document has presented DCBA — a Dual-Chain Blockchain Architecture for Secure, Priority-Aware, UAV-Enabled Pharmaceutical Delivery — in comprehensive technical detail. The system addresses a confluence of critical problems in pharmaceutical supply chain integrity, patient data sovereignty, and last-mile healthcare logistics through a novel dual-chain design that exploits the distinct strengths of Ethereum PoA (privacy, smart contract flexibility) and Hyperledger Fabric (IoT throughput, organisational endorsement policies) in a unified, interoperating architecture.</w:t>
      </w:r>
    </w:p>
    <w:p>
      <w:pPr>
        <w:spacing w:before="0" w:after="160"/>
        <w:jc w:val="both"/>
      </w:pPr>
      <w:r>
        <w:rPr>
          <w:rFonts w:ascii="Arial" w:cs="Arial" w:eastAsia="Arial" w:hAnsi="Arial"/>
          <w:b w:val="false"/>
          <w:bCs w:val="false"/>
          <w:i w:val="false"/>
          <w:iCs w:val="false"/>
          <w:color w:val="374151"/>
          <w:sz w:val="24"/>
          <w:szCs w:val="24"/>
        </w:rPr>
        <w:t xml:space="preserve">The six original technical contributions — dual-chain architecture, hardware-bound W3C DID for UAVs, two-phase DCS algorithm, sanitizable signature EHR model, PARS clinical priority routing, and patient-sovereign encryption — collectively address six documented gaps in the existing literature that no prior single work has resolved. The system is governed by seven purpose-designed Solidity smart contracts, enforces zero-trust verification on every operation, and produces a complete immutable audit trail accessible to the Regulatory Auditor for DGDA compliance reporting.</w:t>
      </w:r>
    </w:p>
    <w:p>
      <w:pPr>
        <w:spacing w:before="0" w:after="160"/>
        <w:jc w:val="both"/>
      </w:pPr>
      <w:r>
        <w:rPr>
          <w:rFonts w:ascii="Arial" w:cs="Arial" w:eastAsia="Arial" w:hAnsi="Arial"/>
          <w:b w:val="false"/>
          <w:bCs w:val="false"/>
          <w:i w:val="false"/>
          <w:iCs w:val="false"/>
          <w:color w:val="374151"/>
          <w:sz w:val="24"/>
          <w:szCs w:val="24"/>
        </w:rPr>
        <w:t xml:space="preserve">The implementation plan provides a structured 14-week development roadmap progressing through environment setup, PDC implementation, UOC implementation, oracle bridge development, UAV fleet simulation, comprehensive benchmarking, and security validation — with research paper writing running in parallel throughout. The benchmarking methodology provides quantitative performance targets and reproducible measurement procedures for all major system components.</w:t>
      </w:r>
    </w:p>
    <w:p>
      <w:pPr>
        <w:pStyle w:val="Heading2"/>
        <w:spacing w:before="280" w:after="120"/>
      </w:pPr>
      <w:r>
        <w:rPr>
          <w:rFonts w:ascii="Arial" w:cs="Arial" w:eastAsia="Arial" w:hAnsi="Arial"/>
          <w:b/>
          <w:bCs/>
          <w:color w:val="2E6DB4"/>
          <w:sz w:val="28"/>
          <w:szCs w:val="28"/>
        </w:rPr>
        <w:t xml:space="preserve">11.2 Limitations</w:t>
      </w:r>
    </w:p>
    <w:p>
      <w:pPr>
        <w:spacing w:before="0" w:after="160"/>
        <w:jc w:val="both"/>
      </w:pPr>
      <w:r>
        <w:rPr>
          <w:rFonts w:ascii="Arial" w:cs="Arial" w:eastAsia="Arial" w:hAnsi="Arial"/>
          <w:b w:val="false"/>
          <w:bCs w:val="false"/>
          <w:i w:val="false"/>
          <w:iCs w:val="false"/>
          <w:color w:val="374151"/>
          <w:sz w:val="24"/>
          <w:szCs w:val="24"/>
        </w:rPr>
        <w:t xml:space="preserve">DCBA as currently designed has six acknowledged limitations that define the boundary of the current research scope: (1) the SC-7 oracle bridge relies on a single relay node, creating a single point of failure; (2) PARS score assignment is clinician-determined without real-time AI validation; (3) DCS algorithm weights are static and do not adapt to delivery context; (4) UAV simulation uses software-computed DCS metrics rather than real hardware sensor data; (5) multi-UAV swarm coordination for large pharmaceutical payloads is not addressed; and (6) formal verification against GDPR Article 17 (right to erasure) and Bangladesh national health data regulations has not been completed.</w:t>
      </w:r>
    </w:p>
    <w:p>
      <w:pPr>
        <w:pStyle w:val="Heading2"/>
        <w:spacing w:before="280" w:after="120"/>
      </w:pPr>
      <w:r>
        <w:rPr>
          <w:rFonts w:ascii="Arial" w:cs="Arial" w:eastAsia="Arial" w:hAnsi="Arial"/>
          <w:b/>
          <w:bCs/>
          <w:color w:val="2E6DB4"/>
          <w:sz w:val="28"/>
          <w:szCs w:val="28"/>
        </w:rPr>
        <w:t xml:space="preserve">11.3 Future Work</w:t>
      </w:r>
    </w:p>
    <w:p>
      <w:pPr>
        <w:spacing w:before="0" w:after="160"/>
        <w:jc w:val="both"/>
      </w:pPr>
      <w:r>
        <w:rPr>
          <w:rFonts w:ascii="Arial" w:cs="Arial" w:eastAsia="Arial" w:hAnsi="Arial"/>
          <w:b w:val="false"/>
          <w:bCs w:val="false"/>
          <w:i w:val="false"/>
          <w:iCs w:val="false"/>
          <w:color w:val="374151"/>
          <w:sz w:val="24"/>
          <w:szCs w:val="24"/>
        </w:rPr>
        <w:t xml:space="preserve">Six directions for future research build directly on DCBA's foundation:</w:t>
      </w:r>
    </w:p>
    <w:p>
      <w:pPr>
        <w:pStyle w:val="ListParagraph"/>
        <w:numPr>
          <w:ilvl w:val="0"/>
          <w:numId w:val="2"/>
        </w:numPr>
        <w:spacing w:before="0" w:after="100"/>
      </w:pPr>
      <w:r>
        <w:rPr>
          <w:rFonts w:ascii="Arial" w:cs="Arial" w:eastAsia="Arial" w:hAnsi="Arial"/>
          <w:b w:val="false"/>
          <w:bCs w:val="false"/>
          <w:color w:val="374151"/>
          <w:sz w:val="24"/>
          <w:szCs w:val="24"/>
        </w:rPr>
        <w:t xml:space="preserve">Decentralised Oracle Network: Replace the single SC-7 relay with a threshold signature oracle network (t-of-n design, e.g., 3-of-5 oracle nodes) to eliminate single-point-of-failure and provide oracle availability guarantees.</w:t>
      </w:r>
    </w:p>
    <w:p>
      <w:pPr>
        <w:pStyle w:val="ListParagraph"/>
        <w:numPr>
          <w:ilvl w:val="0"/>
          <w:numId w:val="2"/>
        </w:numPr>
        <w:spacing w:before="0" w:after="100"/>
      </w:pPr>
      <w:r>
        <w:rPr>
          <w:rFonts w:ascii="Arial" w:cs="Arial" w:eastAsia="Arial" w:hAnsi="Arial"/>
          <w:b w:val="false"/>
          <w:bCs w:val="false"/>
          <w:color w:val="374151"/>
          <w:sz w:val="24"/>
          <w:szCs w:val="24"/>
        </w:rPr>
        <w:t xml:space="preserve">Zero-Knowledge Proof Integration: Replace asymmetric encryption in SC-3 with ZK-SNARK-based selective disclosure — allowing HP to prove a prescription is medically valid without revealing diagnosis, and RA to prove audit compliance without accessing patient data.</w:t>
      </w:r>
    </w:p>
    <w:p>
      <w:pPr>
        <w:pStyle w:val="ListParagraph"/>
        <w:numPr>
          <w:ilvl w:val="0"/>
          <w:numId w:val="2"/>
        </w:numPr>
        <w:spacing w:before="0" w:after="100"/>
      </w:pPr>
      <w:r>
        <w:rPr>
          <w:rFonts w:ascii="Arial" w:cs="Arial" w:eastAsia="Arial" w:hAnsi="Arial"/>
          <w:b w:val="false"/>
          <w:bCs w:val="false"/>
          <w:color w:val="374151"/>
          <w:sz w:val="24"/>
          <w:szCs w:val="24"/>
        </w:rPr>
        <w:t xml:space="preserve">Post-Quantum Cryptography Migration: Migrate DCS encryption and digital signatures from classical ECDSA to CRYSTALS-Kyber (key encapsulation) and CRYSTALS-Dilithium (digital signatures) in preparation for quantum computing threats.</w:t>
      </w:r>
    </w:p>
    <w:p>
      <w:pPr>
        <w:pStyle w:val="ListParagraph"/>
        <w:numPr>
          <w:ilvl w:val="0"/>
          <w:numId w:val="2"/>
        </w:numPr>
        <w:spacing w:before="0" w:after="100"/>
      </w:pPr>
      <w:r>
        <w:rPr>
          <w:rFonts w:ascii="Arial" w:cs="Arial" w:eastAsia="Arial" w:hAnsi="Arial"/>
          <w:b w:val="false"/>
          <w:bCs w:val="false"/>
          <w:color w:val="374151"/>
          <w:sz w:val="24"/>
          <w:szCs w:val="24"/>
        </w:rPr>
        <w:t xml:space="preserve">Adaptive DCS Weight Optimisation: Implement a reinforcement learning agent that adjusts DCS metric weights based on historical delivery outcomes — increasing battery weight for long-distance deliveries, payload weight for heavy packages, and speed weight for CRITICAL-tier orders.</w:t>
      </w:r>
    </w:p>
    <w:p>
      <w:pPr>
        <w:pStyle w:val="ListParagraph"/>
        <w:numPr>
          <w:ilvl w:val="0"/>
          <w:numId w:val="2"/>
        </w:numPr>
        <w:spacing w:before="0" w:after="100"/>
      </w:pPr>
      <w:r>
        <w:rPr>
          <w:rFonts w:ascii="Arial" w:cs="Arial" w:eastAsia="Arial" w:hAnsi="Arial"/>
          <w:b w:val="false"/>
          <w:bCs w:val="false"/>
          <w:color w:val="374151"/>
          <w:sz w:val="24"/>
          <w:szCs w:val="24"/>
        </w:rPr>
        <w:t xml:space="preserve">Multi-UAV Swarm Coordination: Extend the DCS algorithm to support cooperative multi-UAV delivery of large pharmaceutical payloads, with on-chain consensus for swarm task allocation and distributed GPS attestation.</w:t>
      </w:r>
    </w:p>
    <w:p>
      <w:pPr>
        <w:pStyle w:val="ListParagraph"/>
        <w:numPr>
          <w:ilvl w:val="0"/>
          <w:numId w:val="2"/>
        </w:numPr>
        <w:spacing w:before="0" w:after="100"/>
      </w:pPr>
      <w:r>
        <w:rPr>
          <w:rFonts w:ascii="Arial" w:cs="Arial" w:eastAsia="Arial" w:hAnsi="Arial"/>
          <w:b w:val="false"/>
          <w:bCs w:val="false"/>
          <w:color w:val="374151"/>
          <w:sz w:val="24"/>
          <w:szCs w:val="24"/>
        </w:rPr>
        <w:t xml:space="preserve">National-Scale Deployment Study: Conduct a feasibility study for deploying DCBA across all 64 districts of Bangladesh in coordination with DGDA, modelling the network topology, regulatory integration requirements, and scalability constraints of a national pharmaceutical blockchain infrastructure.</w:t>
      </w:r>
    </w:p>
    <w:p>
      <w:r>
        <w:br w:type="page"/>
      </w:r>
    </w:p>
    <w:p>
      <w:pPr>
        <w:pStyle w:val="Heading1"/>
        <w:pBdr>
          <w:bottom w:val="single" w:color="2E6DB4" w:sz="4" w:space="4"/>
        </w:pBdr>
        <w:spacing w:before="360" w:after="160"/>
      </w:pPr>
      <w:r>
        <w:rPr>
          <w:rFonts w:ascii="Arial" w:cs="Arial" w:eastAsia="Arial" w:hAnsi="Arial"/>
          <w:b/>
          <w:bCs/>
          <w:color w:val="1A3A6B"/>
          <w:sz w:val="32"/>
          <w:szCs w:val="32"/>
        </w:rPr>
        <w:t xml:space="preserve">References</w:t>
      </w:r>
    </w:p>
    <w:p>
      <w:pPr>
        <w:spacing w:before="0" w:after="100"/>
        <w:ind w:left="720" w:hanging="720"/>
      </w:pPr>
      <w:r>
        <w:rPr>
          <w:rFonts w:ascii="Arial" w:cs="Arial" w:eastAsia="Arial" w:hAnsi="Arial"/>
          <w:b/>
          <w:bCs/>
          <w:color w:val="2E6DB4"/>
          <w:sz w:val="22"/>
          <w:szCs w:val="22"/>
        </w:rPr>
        <w:t xml:space="preserve">[1] </w:t>
      </w:r>
      <w:r>
        <w:rPr>
          <w:rFonts w:ascii="Arial" w:cs="Arial" w:eastAsia="Arial" w:hAnsi="Arial"/>
          <w:color w:val="374151"/>
          <w:sz w:val="22"/>
          <w:szCs w:val="22"/>
        </w:rPr>
        <w:t xml:space="preserve">Azaria, A., Ekblaw, A., Vieira, T., and Lippman, A. (2016). "MedRec: Using Blockchain for Medical Data Access and Permission Management." Proceedings of the 2nd International Conference on Open and Big Data (OBD), Vienna, Austria, pp. 25–30.</w:t>
      </w:r>
    </w:p>
    <w:p>
      <w:pPr>
        <w:spacing w:before="0" w:after="100"/>
        <w:ind w:left="720" w:hanging="720"/>
      </w:pPr>
      <w:r>
        <w:rPr>
          <w:rFonts w:ascii="Arial" w:cs="Arial" w:eastAsia="Arial" w:hAnsi="Arial"/>
          <w:b/>
          <w:bCs/>
          <w:color w:val="2E6DB4"/>
          <w:sz w:val="22"/>
          <w:szCs w:val="22"/>
        </w:rPr>
        <w:t xml:space="preserve">[2] </w:t>
      </w:r>
      <w:r>
        <w:rPr>
          <w:rFonts w:ascii="Arial" w:cs="Arial" w:eastAsia="Arial" w:hAnsi="Arial"/>
          <w:color w:val="374151"/>
          <w:sz w:val="22"/>
          <w:szCs w:val="22"/>
        </w:rPr>
        <w:t xml:space="preserve">Sylim, P., Liu, F., Marcelo, A., and Fontelo, P. (2018). "Blockchain Technology for Detecting Falsified and Substandard Drugs in Distribution: Pharmaceutical Supply Chain Intervention." JMIR Research Protocols, 7(9), e10163.</w:t>
      </w:r>
    </w:p>
    <w:p>
      <w:pPr>
        <w:spacing w:before="0" w:after="100"/>
        <w:ind w:left="720" w:hanging="720"/>
      </w:pPr>
      <w:r>
        <w:rPr>
          <w:rFonts w:ascii="Arial" w:cs="Arial" w:eastAsia="Arial" w:hAnsi="Arial"/>
          <w:b/>
          <w:bCs/>
          <w:color w:val="2E6DB4"/>
          <w:sz w:val="22"/>
          <w:szCs w:val="22"/>
        </w:rPr>
        <w:t xml:space="preserve">[3] </w:t>
      </w:r>
      <w:r>
        <w:rPr>
          <w:rFonts w:ascii="Arial" w:cs="Arial" w:eastAsia="Arial" w:hAnsi="Arial"/>
          <w:color w:val="374151"/>
          <w:sz w:val="22"/>
          <w:szCs w:val="22"/>
        </w:rPr>
        <w:t xml:space="preserve">Androulaki, E. et al. (2018). "Hyperledger Fabric: A Distributed Operating System for Permissioned Blockchains." Proceedings of the 13th EuroSys Conference, Porto, Portugal. ACM.</w:t>
      </w:r>
    </w:p>
    <w:p>
      <w:pPr>
        <w:spacing w:before="0" w:after="100"/>
        <w:ind w:left="720" w:hanging="720"/>
      </w:pPr>
      <w:r>
        <w:rPr>
          <w:rFonts w:ascii="Arial" w:cs="Arial" w:eastAsia="Arial" w:hAnsi="Arial"/>
          <w:b/>
          <w:bCs/>
          <w:color w:val="2E6DB4"/>
          <w:sz w:val="22"/>
          <w:szCs w:val="22"/>
        </w:rPr>
        <w:t xml:space="preserve">[4] </w:t>
      </w:r>
      <w:r>
        <w:rPr>
          <w:rFonts w:ascii="Arial" w:cs="Arial" w:eastAsia="Arial" w:hAnsi="Arial"/>
          <w:color w:val="374151"/>
          <w:sz w:val="22"/>
          <w:szCs w:val="22"/>
        </w:rPr>
        <w:t xml:space="preserve">Thiels, C. A., Aho, J. M., Zietlow, S. P., and Jenkins, D. H. (2015). "Use of Unmanned Aerial Vehicles for Medical Product Transport." Air Medical Journal, 34(2), 104–108.</w:t>
      </w:r>
    </w:p>
    <w:p>
      <w:pPr>
        <w:spacing w:before="0" w:after="100"/>
        <w:ind w:left="720" w:hanging="720"/>
      </w:pPr>
      <w:r>
        <w:rPr>
          <w:rFonts w:ascii="Arial" w:cs="Arial" w:eastAsia="Arial" w:hAnsi="Arial"/>
          <w:b/>
          <w:bCs/>
          <w:color w:val="2E6DB4"/>
          <w:sz w:val="22"/>
          <w:szCs w:val="22"/>
        </w:rPr>
        <w:t xml:space="preserve">[5] </w:t>
      </w:r>
      <w:r>
        <w:rPr>
          <w:rFonts w:ascii="Arial" w:cs="Arial" w:eastAsia="Arial" w:hAnsi="Arial"/>
          <w:color w:val="374151"/>
          <w:sz w:val="22"/>
          <w:szCs w:val="22"/>
        </w:rPr>
        <w:t xml:space="preserve">World Health Organization. (2017). "A Study on the Public Health and Socioeconomic Impact of Substandard and Falsified Medical Products." WHO Reference Number: WHO/EMP/RHT/2017.02. Geneva: WHO.</w:t>
      </w:r>
    </w:p>
    <w:p>
      <w:pPr>
        <w:spacing w:before="0" w:after="100"/>
        <w:ind w:left="720" w:hanging="720"/>
      </w:pPr>
      <w:r>
        <w:rPr>
          <w:rFonts w:ascii="Arial" w:cs="Arial" w:eastAsia="Arial" w:hAnsi="Arial"/>
          <w:b/>
          <w:bCs/>
          <w:color w:val="2E6DB4"/>
          <w:sz w:val="22"/>
          <w:szCs w:val="22"/>
        </w:rPr>
        <w:t xml:space="preserve">[6] </w:t>
      </w:r>
      <w:r>
        <w:rPr>
          <w:rFonts w:ascii="Arial" w:cs="Arial" w:eastAsia="Arial" w:hAnsi="Arial"/>
          <w:color w:val="374151"/>
          <w:sz w:val="22"/>
          <w:szCs w:val="22"/>
        </w:rPr>
        <w:t xml:space="preserve">Reed, D., Sporny, M., Longley, D., Allen, C., Grant, R., and Sabadello, M. (2022). "Decentralized Identifiers (DIDs) v1.0: Core architecture, data model, and representations." W3C Recommendation, 19 July 2022. https://www.w3.org/TR/did-core/</w:t>
      </w:r>
    </w:p>
    <w:p>
      <w:pPr>
        <w:spacing w:before="0" w:after="100"/>
        <w:ind w:left="720" w:hanging="720"/>
      </w:pPr>
      <w:r>
        <w:rPr>
          <w:rFonts w:ascii="Arial" w:cs="Arial" w:eastAsia="Arial" w:hAnsi="Arial"/>
          <w:b/>
          <w:bCs/>
          <w:color w:val="2E6DB4"/>
          <w:sz w:val="22"/>
          <w:szCs w:val="22"/>
        </w:rPr>
        <w:t xml:space="preserve">[7] </w:t>
      </w:r>
      <w:r>
        <w:rPr>
          <w:rFonts w:ascii="Arial" w:cs="Arial" w:eastAsia="Arial" w:hAnsi="Arial"/>
          <w:color w:val="374151"/>
          <w:sz w:val="22"/>
          <w:szCs w:val="22"/>
        </w:rPr>
        <w:t xml:space="preserve">Bloom, B. H. (1970). "Space/time trade-offs in hash coding with allowable errors." Communications of the ACM, 13(7), 422–426.</w:t>
      </w:r>
    </w:p>
    <w:p>
      <w:pPr>
        <w:spacing w:before="0" w:after="100"/>
        <w:ind w:left="720" w:hanging="720"/>
      </w:pPr>
      <w:r>
        <w:rPr>
          <w:rFonts w:ascii="Arial" w:cs="Arial" w:eastAsia="Arial" w:hAnsi="Arial"/>
          <w:b/>
          <w:bCs/>
          <w:color w:val="2E6DB4"/>
          <w:sz w:val="22"/>
          <w:szCs w:val="22"/>
        </w:rPr>
        <w:t xml:space="preserve">[8] </w:t>
      </w:r>
      <w:r>
        <w:rPr>
          <w:rFonts w:ascii="Arial" w:cs="Arial" w:eastAsia="Arial" w:hAnsi="Arial"/>
          <w:color w:val="374151"/>
          <w:sz w:val="22"/>
          <w:szCs w:val="22"/>
        </w:rPr>
        <w:t xml:space="preserve">Rejeb, A., Rejeb, K., Simske, S., and Treiblmaier, H. (2022). "Blockchain Technologies in Logistics and Supply Chain Management: A Bibliometric Review." Logistics, 5(4), 72.</w:t>
      </w:r>
    </w:p>
    <w:p>
      <w:pPr>
        <w:spacing w:before="0" w:after="100"/>
        <w:ind w:left="720" w:hanging="720"/>
      </w:pPr>
      <w:r>
        <w:rPr>
          <w:rFonts w:ascii="Arial" w:cs="Arial" w:eastAsia="Arial" w:hAnsi="Arial"/>
          <w:b/>
          <w:bCs/>
          <w:color w:val="2E6DB4"/>
          <w:sz w:val="22"/>
          <w:szCs w:val="22"/>
        </w:rPr>
        <w:t xml:space="preserve">[9] </w:t>
      </w:r>
      <w:r>
        <w:rPr>
          <w:rFonts w:ascii="Arial" w:cs="Arial" w:eastAsia="Arial" w:hAnsi="Arial"/>
          <w:color w:val="374151"/>
          <w:sz w:val="22"/>
          <w:szCs w:val="22"/>
        </w:rPr>
        <w:t xml:space="preserve">Abbas, K., and Bilal, K. (2020). "A Systematic Review of Blockchain-Based Solutions for Healthcare." IEEE Access, 8, 200123–200152.</w:t>
      </w:r>
    </w:p>
    <w:p>
      <w:pPr>
        <w:spacing w:before="0" w:after="100"/>
        <w:ind w:left="720" w:hanging="720"/>
      </w:pPr>
      <w:r>
        <w:rPr>
          <w:rFonts w:ascii="Arial" w:cs="Arial" w:eastAsia="Arial" w:hAnsi="Arial"/>
          <w:b/>
          <w:bCs/>
          <w:color w:val="2E6DB4"/>
          <w:sz w:val="22"/>
          <w:szCs w:val="22"/>
        </w:rPr>
        <w:t xml:space="preserve">[10] </w:t>
      </w:r>
      <w:r>
        <w:rPr>
          <w:rFonts w:ascii="Arial" w:cs="Arial" w:eastAsia="Arial" w:hAnsi="Arial"/>
          <w:color w:val="374151"/>
          <w:sz w:val="22"/>
          <w:szCs w:val="22"/>
        </w:rPr>
        <w:t xml:space="preserve">Ling, L., Han, R., and Ji, H. (2019). "Multi-UAV Task Assignment Based on Improved Discrete Particle Swarm Optimization." IEEE Access, 7, 150453–150465.</w:t>
      </w:r>
    </w:p>
    <w:p>
      <w:pPr>
        <w:spacing w:before="0" w:after="100"/>
        <w:ind w:left="720" w:hanging="720"/>
      </w:pPr>
      <w:r>
        <w:rPr>
          <w:rFonts w:ascii="Arial" w:cs="Arial" w:eastAsia="Arial" w:hAnsi="Arial"/>
          <w:b/>
          <w:bCs/>
          <w:color w:val="2E6DB4"/>
          <w:sz w:val="22"/>
          <w:szCs w:val="22"/>
        </w:rPr>
        <w:t xml:space="preserve">[11] </w:t>
      </w:r>
      <w:r>
        <w:rPr>
          <w:rFonts w:ascii="Arial" w:cs="Arial" w:eastAsia="Arial" w:hAnsi="Arial"/>
          <w:color w:val="374151"/>
          <w:sz w:val="22"/>
          <w:szCs w:val="22"/>
        </w:rPr>
        <w:t xml:space="preserve">Hyperledger Foundation. (2023). "Hyperledger Caliper: Blockchain Performance Benchmarking." Available at: https://hyperledger.github.io/caliper/</w:t>
      </w:r>
    </w:p>
    <w:p>
      <w:pPr>
        <w:spacing w:before="0" w:after="100"/>
        <w:ind w:left="720" w:hanging="720"/>
      </w:pPr>
      <w:r>
        <w:rPr>
          <w:rFonts w:ascii="Arial" w:cs="Arial" w:eastAsia="Arial" w:hAnsi="Arial"/>
          <w:b/>
          <w:bCs/>
          <w:color w:val="2E6DB4"/>
          <w:sz w:val="22"/>
          <w:szCs w:val="22"/>
        </w:rPr>
        <w:t xml:space="preserve">[12] </w:t>
      </w:r>
      <w:r>
        <w:rPr>
          <w:rFonts w:ascii="Arial" w:cs="Arial" w:eastAsia="Arial" w:hAnsi="Arial"/>
          <w:color w:val="374151"/>
          <w:sz w:val="22"/>
          <w:szCs w:val="22"/>
        </w:rPr>
        <w:t xml:space="preserve">Su, Z., Wang, Y., Xu, Q., Fei, M., Tian, Y. C., and Zhang, N. (2020). "A Secure Charging Scheme for Electric Vehicles with Smart Communities in Energy Blockchain." IEEE Internet of Things Journal, 6(3), 4601–4613.</w:t>
      </w:r>
    </w:p>
    <w:p>
      <w:pPr>
        <w:spacing w:before="0" w:after="100"/>
        <w:ind w:left="720" w:hanging="720"/>
      </w:pPr>
      <w:r>
        <w:rPr>
          <w:rFonts w:ascii="Arial" w:cs="Arial" w:eastAsia="Arial" w:hAnsi="Arial"/>
          <w:b/>
          <w:bCs/>
          <w:color w:val="2E6DB4"/>
          <w:sz w:val="22"/>
          <w:szCs w:val="22"/>
        </w:rPr>
        <w:t xml:space="preserve">[13] </w:t>
      </w:r>
      <w:r>
        <w:rPr>
          <w:rFonts w:ascii="Arial" w:cs="Arial" w:eastAsia="Arial" w:hAnsi="Arial"/>
          <w:color w:val="374151"/>
          <w:sz w:val="22"/>
          <w:szCs w:val="22"/>
        </w:rPr>
        <w:t xml:space="preserve">Wood, G. (2016). "Polkadot: Vision for a Heterogeneous Multi-chain Framework." White Paper. Web3 Foundation.</w:t>
      </w:r>
    </w:p>
    <w:p>
      <w:pPr>
        <w:spacing w:before="0" w:after="100"/>
        <w:ind w:left="720" w:hanging="720"/>
      </w:pPr>
      <w:r>
        <w:rPr>
          <w:rFonts w:ascii="Arial" w:cs="Arial" w:eastAsia="Arial" w:hAnsi="Arial"/>
          <w:b/>
          <w:bCs/>
          <w:color w:val="2E6DB4"/>
          <w:sz w:val="22"/>
          <w:szCs w:val="22"/>
        </w:rPr>
        <w:t xml:space="preserve">[14] </w:t>
      </w:r>
      <w:r>
        <w:rPr>
          <w:rFonts w:ascii="Arial" w:cs="Arial" w:eastAsia="Arial" w:hAnsi="Arial"/>
          <w:color w:val="374151"/>
          <w:sz w:val="22"/>
          <w:szCs w:val="22"/>
        </w:rPr>
        <w:t xml:space="preserve">Pham, H. L., Tran, T. H., and Nakashima, Y. (2019). "A Reliable Supply Chain Management System Based on Blockchain Technology." Proceedings of the 2019 International Conference on Advanced Information Technologies (ICAIT), Yangon, Myanmar.</w:t>
      </w:r>
    </w:p>
    <w:p>
      <w:pPr>
        <w:spacing w:before="0" w:after="100"/>
        <w:ind w:left="720" w:hanging="720"/>
      </w:pPr>
      <w:r>
        <w:rPr>
          <w:rFonts w:ascii="Arial" w:cs="Arial" w:eastAsia="Arial" w:hAnsi="Arial"/>
          <w:b/>
          <w:bCs/>
          <w:color w:val="2E6DB4"/>
          <w:sz w:val="22"/>
          <w:szCs w:val="22"/>
        </w:rPr>
        <w:t xml:space="preserve">[15] </w:t>
      </w:r>
      <w:r>
        <w:rPr>
          <w:rFonts w:ascii="Arial" w:cs="Arial" w:eastAsia="Arial" w:hAnsi="Arial"/>
          <w:color w:val="374151"/>
          <w:sz w:val="22"/>
          <w:szCs w:val="22"/>
        </w:rPr>
        <w:t xml:space="preserve">Jamil, F., Hang, L., Kim, K., and Kim, D. (2019). "A Novel Medical Blockchain Model for Drug Supply Chain Integrity Management in a Smart Hospital." Electronics, 8(5), 505.</w:t>
      </w:r>
    </w:p>
    <w:p>
      <w:pPr>
        <w:spacing w:before="0" w:after="100"/>
        <w:ind w:left="720" w:hanging="720"/>
      </w:pPr>
      <w:r>
        <w:rPr>
          <w:rFonts w:ascii="Arial" w:cs="Arial" w:eastAsia="Arial" w:hAnsi="Arial"/>
          <w:b/>
          <w:bCs/>
          <w:color w:val="2E6DB4"/>
          <w:sz w:val="22"/>
          <w:szCs w:val="22"/>
        </w:rPr>
        <w:t xml:space="preserve">[16] </w:t>
      </w:r>
      <w:r>
        <w:rPr>
          <w:rFonts w:ascii="Arial" w:cs="Arial" w:eastAsia="Arial" w:hAnsi="Arial"/>
          <w:color w:val="374151"/>
          <w:sz w:val="22"/>
          <w:szCs w:val="22"/>
        </w:rPr>
        <w:t xml:space="preserve">Buchman, E., Kwon, J., and Milosevic, Z. (2019). "The latest gossip on BFT consensus." arXiv preprint arXiv:1807.04938.</w:t>
      </w:r>
    </w:p>
    <w:p>
      <w:pPr>
        <w:spacing w:before="0" w:after="100"/>
        <w:ind w:left="720" w:hanging="720"/>
      </w:pPr>
      <w:r>
        <w:rPr>
          <w:rFonts w:ascii="Arial" w:cs="Arial" w:eastAsia="Arial" w:hAnsi="Arial"/>
          <w:b/>
          <w:bCs/>
          <w:color w:val="2E6DB4"/>
          <w:sz w:val="22"/>
          <w:szCs w:val="22"/>
        </w:rPr>
        <w:t xml:space="preserve">[17] </w:t>
      </w:r>
      <w:r>
        <w:rPr>
          <w:rFonts w:ascii="Arial" w:cs="Arial" w:eastAsia="Arial" w:hAnsi="Arial"/>
          <w:color w:val="374151"/>
          <w:sz w:val="22"/>
          <w:szCs w:val="22"/>
        </w:rPr>
        <w:t xml:space="preserve">Brzuska, C., Fischlin, M., Lehmann, A., and Stam, M. (2010). "Unlinkability of Sanitizable Signatures." In: Nguyen P.Q., Pointcheval D. (eds) Public Key Cryptography – PKC 2010. Lecture Notes in Computer Science, vol 6056. Springer, Berlin, Heidelberg.</w:t>
      </w:r>
    </w:p>
    <w:p>
      <w:pPr>
        <w:spacing w:before="0" w:after="100"/>
        <w:ind w:left="720" w:hanging="720"/>
      </w:pPr>
      <w:r>
        <w:rPr>
          <w:rFonts w:ascii="Arial" w:cs="Arial" w:eastAsia="Arial" w:hAnsi="Arial"/>
          <w:b/>
          <w:bCs/>
          <w:color w:val="2E6DB4"/>
          <w:sz w:val="22"/>
          <w:szCs w:val="22"/>
        </w:rPr>
        <w:t xml:space="preserve">[18] </w:t>
      </w:r>
      <w:r>
        <w:rPr>
          <w:rFonts w:ascii="Arial" w:cs="Arial" w:eastAsia="Arial" w:hAnsi="Arial"/>
          <w:color w:val="374151"/>
          <w:sz w:val="22"/>
          <w:szCs w:val="22"/>
        </w:rPr>
        <w:t xml:space="preserve">Hyperledger Foundation. (2023). "Hyperledger Fabric 2.5 LTS Documentation." Available at: https://hyperledger-fabric.readthedocs.io/</w:t>
      </w:r>
    </w:p>
    <w:p>
      <w:pPr>
        <w:spacing w:before="0" w:after="100"/>
        <w:ind w:left="720" w:hanging="720"/>
      </w:pPr>
      <w:r>
        <w:rPr>
          <w:rFonts w:ascii="Arial" w:cs="Arial" w:eastAsia="Arial" w:hAnsi="Arial"/>
          <w:b/>
          <w:bCs/>
          <w:color w:val="2E6DB4"/>
          <w:sz w:val="22"/>
          <w:szCs w:val="22"/>
        </w:rPr>
        <w:t xml:space="preserve">[19] </w:t>
      </w:r>
      <w:r>
        <w:rPr>
          <w:rFonts w:ascii="Arial" w:cs="Arial" w:eastAsia="Arial" w:hAnsi="Arial"/>
          <w:color w:val="374151"/>
          <w:sz w:val="22"/>
          <w:szCs w:val="22"/>
        </w:rPr>
        <w:t xml:space="preserve">DGDA — Directorate General of Drug Administration, Bangladesh. (2023). "Regulatory Guidelines for Pharmaceutical Manufacturing and Distribution." Ministry of Health and Family Welfare, Government of the People's Republic of Bangladesh.</w:t>
      </w:r>
    </w:p>
    <w:p>
      <w:pPr>
        <w:spacing w:before="0" w:after="100"/>
        <w:ind w:left="720" w:hanging="720"/>
      </w:pPr>
      <w:r>
        <w:rPr>
          <w:rFonts w:ascii="Arial" w:cs="Arial" w:eastAsia="Arial" w:hAnsi="Arial"/>
          <w:b/>
          <w:bCs/>
          <w:color w:val="2E6DB4"/>
          <w:sz w:val="22"/>
          <w:szCs w:val="22"/>
        </w:rPr>
        <w:t xml:space="preserve">[20] </w:t>
      </w:r>
      <w:r>
        <w:rPr>
          <w:rFonts w:ascii="Arial" w:cs="Arial" w:eastAsia="Arial" w:hAnsi="Arial"/>
          <w:color w:val="374151"/>
          <w:sz w:val="22"/>
          <w:szCs w:val="22"/>
        </w:rPr>
        <w:t xml:space="preserve">Ethereum Foundation. (2023). "Solidity Documentation v0.8.20." Available at: https://docs.soliditylang.org/</w:t>
      </w:r>
    </w:p>
    <w:p>
      <w:pPr>
        <w:spacing w:before="0" w:after="80"/>
      </w:pPr>
      <w:r>
        <w:t xml:space="preserve"/>
      </w:r>
    </w:p>
    <w:p>
      <w:pPr>
        <w:pBdr>
          <w:bottom w:val="single" w:color="D1D5DB" w:sz="2" w:space="1"/>
        </w:pBdr>
        <w:spacing w:before="160" w:after="160"/>
      </w:pPr>
      <w:r>
        <w:t xml:space="preserve"/>
      </w:r>
    </w:p>
    <w:p>
      <w:pPr>
        <w:spacing w:before="0" w:after="80"/>
      </w:pPr>
      <w:r>
        <w:t xml:space="preserve"/>
      </w:r>
    </w:p>
    <w:p>
      <w:pPr>
        <w:spacing w:before="0" w:after="80"/>
        <w:jc w:val="center"/>
      </w:pPr>
      <w:r>
        <w:rPr>
          <w:rFonts w:ascii="Arial" w:cs="Arial" w:eastAsia="Arial" w:hAnsi="Arial"/>
          <w:i/>
          <w:iCs/>
          <w:color w:val="6B7280"/>
          <w:sz w:val="20"/>
          <w:szCs w:val="20"/>
        </w:rPr>
        <w:t xml:space="preserve">— End of Document —</w:t>
      </w:r>
    </w:p>
    <w:p>
      <w:pPr>
        <w:spacing w:before="0" w:after="80"/>
        <w:jc w:val="center"/>
      </w:pPr>
      <w:r>
        <w:rPr>
          <w:rFonts w:ascii="Arial" w:cs="Arial" w:eastAsia="Arial" w:hAnsi="Arial"/>
          <w:color w:val="6B7280"/>
          <w:sz w:val="18"/>
          <w:szCs w:val="18"/>
        </w:rPr>
        <w:t xml:space="preserve">DCBA Project Documentation Log · BUET M.Sc. Research 2025–2026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2" w:space="4"/>
      </w:pBdr>
      <w:tabs>
        <w:tab w:val="right" w:pos="9026"/>
      </w:tabs>
    </w:pPr>
    <w:r>
      <w:rPr>
        <w:rFonts w:ascii="Arial" w:cs="Arial" w:eastAsia="Arial" w:hAnsi="Arial"/>
        <w:color w:val="6B7280"/>
        <w:sz w:val="18"/>
        <w:szCs w:val="18"/>
      </w:rPr>
      <w:t xml:space="preserve">BUET M.Sc. Research  ·  2025–2026</w:t>
    </w:r>
    <w:r>
      <w:rPr>
        <w:sz w:val="18"/>
        <w:szCs w:val="18"/>
      </w:rPr>
      <w:t xml:space="preserve">	</w:t>
    </w:r>
    <w:r>
      <w:rPr>
        <w:rFonts w:ascii="Arial" w:cs="Arial" w:eastAsia="Arial" w:hAnsi="Arial"/>
        <w:color w:val="6B7280"/>
        <w:sz w:val="18"/>
        <w:szCs w:val="18"/>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2" w:space="4"/>
      </w:pBdr>
    </w:pPr>
    <w:r>
      <w:rPr>
        <w:rFonts w:ascii="Arial" w:cs="Arial" w:eastAsia="Arial" w:hAnsi="Arial"/>
        <w:color w:val="6B7280"/>
        <w:sz w:val="18"/>
        <w:szCs w:val="18"/>
      </w:rPr>
      <w:t xml:space="preserve">DCBA: Dual-Chain Blockchain Architecture  ·  Project Documentation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0E7490"/>
        <w:sz w:val="24"/>
        <w:szCs w:val="24"/>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color w:val="1A3A6B"/>
        <w:sz w:val="24"/>
        <w:szCs w:val="24"/>
      </w:rPr>
    </w:lvl>
    <w:lvl w:ilvl="1" w15:tentative="1">
      <w:start w:val="1"/>
      <w:numFmt w:val="lowerLetter"/>
      <w:lvlText w:val="%2."/>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1A3A6B"/>
      <w:sz w:val="32"/>
      <w:szCs w:val="32"/>
    </w:rPr>
  </w:style>
  <w:style w:type="paragraph" w:styleId="Heading2">
    <w:name w:val="Heading 2"/>
    <w:basedOn w:val="Normal"/>
    <w:next w:val="Normal"/>
    <w:qFormat/>
    <w:rPr>
      <w:rFonts w:ascii="Arial" w:cs="Arial" w:eastAsia="Arial" w:hAnsi="Arial"/>
      <w:b/>
      <w:bCs/>
      <w:color w:val="2E6DB4"/>
      <w:sz w:val="28"/>
      <w:szCs w:val="28"/>
    </w:rPr>
  </w:style>
  <w:style w:type="paragraph" w:styleId="Heading3">
    <w:name w:val="Heading 3"/>
    <w:basedOn w:val="Normal"/>
    <w:next w:val="Normal"/>
    <w:qFormat/>
    <w:rPr>
      <w:rFonts w:ascii="Arial" w:cs="Arial" w:eastAsia="Arial" w:hAnsi="Arial"/>
      <w:b/>
      <w:bCs/>
      <w:color w:val="0E749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6DB4"/>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E74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2026-03-21T11:27:44.596Z</dcterms:created>
  <dcterms:modified xsi:type="dcterms:W3CDTF">2026-03-21T11:27:44.596Z</dcterms:modified>
</cp:coreProperties>
</file>

<file path=docProps/custom.xml><?xml version="1.0" encoding="utf-8"?>
<Properties xmlns="http://schemas.openxmlformats.org/officeDocument/2006/custom-properties" xmlns:vt="http://schemas.openxmlformats.org/officeDocument/2006/docPropsVTypes"/>
</file>