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757575"/>
          <w:sz w:val="20"/>
          <w:szCs w:val="20"/>
        </w:rPr>
        <w:t xml:space="preserve">PROYECTO INTEGRADOR FINAL</w:t>
      </w:r>
    </w:p>
    <w:p>
      <w:pPr>
        <w:spacing w:after="40"/>
      </w:pPr>
      <w:r>
        <w:rPr>
          <w:color w:val="757575"/>
          <w:sz w:val="20"/>
          <w:szCs w:val="20"/>
        </w:rPr>
        <w:t xml:space="preserve">Pruebas de Software — Sistema EcoTrack</w:t>
      </w:r>
    </w:p>
    <w:p>
      <w:pPr>
        <w:spacing w:after="100" w:before="200"/>
      </w:pPr>
      <w:r>
        <w:rPr>
          <w:b/>
          <w:bCs/>
          <w:color w:val="2E7D32"/>
          <w:sz w:val="44"/>
          <w:szCs w:val="44"/>
        </w:rPr>
        <w:t xml:space="preserve">FASE 1</w:t>
      </w:r>
    </w:p>
    <w:p>
      <w:pPr>
        <w:spacing w:after="300"/>
      </w:pPr>
      <w:r>
        <w:rPr>
          <w:b/>
          <w:bCs/>
          <w:color w:val="1B1B1B"/>
          <w:sz w:val="30"/>
          <w:szCs w:val="30"/>
        </w:rPr>
        <w:t xml:space="preserve">Planificación, Diseño y Documentación</w:t>
      </w:r>
    </w:p>
    <w:p>
      <w:pPr>
        <w:spacing w:after="150" w:line="276"/>
      </w:pPr>
      <w:r>
        <w:rPr>
          <w:sz w:val="21"/>
          <w:szCs w:val="21"/>
        </w:rPr>
        <w:t xml:space="preserve">Este documento cubre las tres entregas de la Fase 1 del plan de tareas: (1.1) Definición del sistema y alcance, (1.2) Plan y estrategia de pruebas bajo el marco ISTQB / ISO 29119, y (1.3) Diseño de la matriz de casos de prueba. El contenido se basa en el análisis directo del código fuente de los repositorios ecotrack-frontend (Next.js) y ecotrack-backend (NestJS).</w:t>
      </w:r>
    </w:p>
    <w:p>
      <w:pPr>
        <w:spacing w:after="300"/>
      </w:pPr>
    </w:p>
    <w:p>
      <w:pPr>
        <w:pStyle w:val="Heading1"/>
        <w:pBdr>
          <w:bottom w:val="single" w:color="2E7D32" w:sz="10" w:space="4"/>
        </w:pBdr>
        <w:spacing w:after="200" w:before="400"/>
      </w:pPr>
      <w:r>
        <w:rPr>
          <w:b/>
          <w:bCs/>
          <w:color w:val="2E7D32"/>
          <w:sz w:val="32"/>
          <w:szCs w:val="32"/>
        </w:rPr>
        <w:t xml:space="preserve">1.1  Definición del Sistema y Alcance</w:t>
      </w:r>
    </w:p>
    <w:p>
      <w:pPr>
        <w:pStyle w:val="Heading2"/>
        <w:spacing w:after="150" w:before="300"/>
      </w:pPr>
      <w:r>
        <w:rPr>
          <w:b/>
          <w:bCs/>
          <w:color w:val="1B1B1B"/>
          <w:sz w:val="26"/>
          <w:szCs w:val="26"/>
        </w:rPr>
        <w:t xml:space="preserve">Revisión de arquitectura</w:t>
      </w:r>
    </w:p>
    <w:p>
      <w:pPr>
        <w:spacing w:after="150" w:line="276"/>
      </w:pPr>
      <w:r>
        <w:rPr>
          <w:sz w:val="21"/>
          <w:szCs w:val="21"/>
        </w:rPr>
        <w:t xml:space="preserve">EcoTrack es una plataforma de incentivos al reciclaje compuesta por dos repositorios independientes que se comunican por API REST: ecotrack-frontend (Next.js 16 / React 19) y ecotrack-backend (NestJS 11, TypeORM, PostgreSQL 16). El backend está organizado en módulos, cada uno con su controlador, servicio y entidades propias, lo cual facilita delimitar el alcance de las pruebas por módulo.</w:t>
      </w:r>
    </w:p>
    <w:p>
      <w:pPr>
        <w:pStyle w:val="Heading3"/>
        <w:spacing w:after="100" w:before="220"/>
      </w:pPr>
      <w:r>
        <w:rPr>
          <w:b/>
          <w:bCs/>
          <w:color w:val="2E7D32"/>
          <w:sz w:val="22"/>
          <w:szCs w:val="22"/>
        </w:rPr>
        <w:t xml:space="preserve">Módulos principales identificados en el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60"/>
        <w:gridCol w:w="3400"/>
      </w:tblGrid>
      <w:tr>
        <w:trPr>
          <w:tblHeader/>
        </w:trPr>
        <w:tc>
          <w:tcPr>
            <w:tcW w:type="dxa" w:w="1700"/>
            <w:shd w:fill="2E7D32" w:val="clear"/>
            <w:tcMar>
              <w:top w:type="dxa" w:w="80"/>
              <w:left w:type="dxa" w:w="100"/>
              <w:bottom w:type="dxa" w:w="80"/>
              <w:right w:type="dxa" w:w="100"/>
            </w:tcMar>
            <w:vAlign w:val="center"/>
          </w:tcPr>
          <w:p>
            <w:pPr>
              <w:spacing w:after="40"/>
              <w:jc w:val="center"/>
            </w:pPr>
            <w:r>
              <w:rPr>
                <w:b/>
                <w:bCs/>
                <w:color w:val="FFFFFF"/>
                <w:sz w:val="19"/>
                <w:szCs w:val="19"/>
              </w:rPr>
              <w:t xml:space="preserve">Módulo</w:t>
            </w:r>
          </w:p>
        </w:tc>
        <w:tc>
          <w:tcPr>
            <w:tcW w:type="dxa" w:w="4260"/>
            <w:shd w:fill="2E7D32" w:val="clear"/>
            <w:tcMar>
              <w:top w:type="dxa" w:w="80"/>
              <w:left w:type="dxa" w:w="100"/>
              <w:bottom w:type="dxa" w:w="80"/>
              <w:right w:type="dxa" w:w="100"/>
            </w:tcMar>
            <w:vAlign w:val="center"/>
          </w:tcPr>
          <w:p>
            <w:pPr>
              <w:spacing w:after="40"/>
              <w:jc w:val="center"/>
            </w:pPr>
            <w:r>
              <w:rPr>
                <w:b/>
                <w:bCs/>
                <w:color w:val="FFFFFF"/>
                <w:sz w:val="19"/>
                <w:szCs w:val="19"/>
              </w:rPr>
              <w:t xml:space="preserve">Responsabilidad</w:t>
            </w:r>
          </w:p>
        </w:tc>
        <w:tc>
          <w:tcPr>
            <w:tcW w:type="dxa" w:w="3400"/>
            <w:shd w:fill="2E7D32" w:val="clear"/>
            <w:tcMar>
              <w:top w:type="dxa" w:w="80"/>
              <w:left w:type="dxa" w:w="100"/>
              <w:bottom w:type="dxa" w:w="80"/>
              <w:right w:type="dxa" w:w="100"/>
            </w:tcMar>
            <w:vAlign w:val="center"/>
          </w:tcPr>
          <w:p>
            <w:pPr>
              <w:spacing w:after="40"/>
              <w:jc w:val="center"/>
            </w:pPr>
            <w:r>
              <w:rPr>
                <w:b/>
                <w:bCs/>
                <w:color w:val="FFFFFF"/>
                <w:sz w:val="19"/>
                <w:szCs w:val="19"/>
              </w:rPr>
              <w:t xml:space="preserve">Archivos clave (backend)</w:t>
            </w:r>
          </w:p>
        </w:tc>
      </w:tr>
      <w:tr>
        <w:tc>
          <w:tcPr>
            <w:tcW w:type="dxa" w:w="1700"/>
            <w:tcMar>
              <w:top w:type="dxa" w:w="80"/>
              <w:left w:type="dxa" w:w="100"/>
              <w:bottom w:type="dxa" w:w="80"/>
              <w:right w:type="dxa" w:w="100"/>
            </w:tcMar>
            <w:vAlign w:val="center"/>
          </w:tcPr>
          <w:p>
            <w:pPr>
              <w:spacing w:after="40"/>
              <w:jc w:val="left"/>
            </w:pPr>
            <w:r>
              <w:rPr>
                <w:b w:val="false"/>
                <w:bCs w:val="false"/>
                <w:color w:val="1B1B1B"/>
                <w:sz w:val="19"/>
                <w:szCs w:val="19"/>
              </w:rPr>
              <w:t xml:space="preserve">auth</w:t>
            </w:r>
          </w:p>
        </w:tc>
        <w:tc>
          <w:tcPr>
            <w:tcW w:type="dxa" w:w="4260"/>
            <w:tcMar>
              <w:top w:type="dxa" w:w="80"/>
              <w:left w:type="dxa" w:w="100"/>
              <w:bottom w:type="dxa" w:w="80"/>
              <w:right w:type="dxa" w:w="100"/>
            </w:tcMar>
            <w:vAlign w:val="center"/>
          </w:tcPr>
          <w:p>
            <w:pPr>
              <w:spacing w:after="40"/>
              <w:jc w:val="left"/>
            </w:pPr>
            <w:r>
              <w:rPr>
                <w:b w:val="false"/>
                <w:bCs w:val="false"/>
                <w:color w:val="1B1B1B"/>
                <w:sz w:val="19"/>
                <w:szCs w:val="19"/>
              </w:rPr>
              <w:t xml:space="preserve">Registro, login y emisión de JWT. Crea la billetera al registrar un cliente.</w:t>
            </w:r>
          </w:p>
        </w:tc>
        <w:tc>
          <w:tcPr>
            <w:tcW w:type="dxa" w:w="3400"/>
            <w:tcMar>
              <w:top w:type="dxa" w:w="80"/>
              <w:left w:type="dxa" w:w="100"/>
              <w:bottom w:type="dxa" w:w="80"/>
              <w:right w:type="dxa" w:w="100"/>
            </w:tcMar>
            <w:vAlign w:val="center"/>
          </w:tcPr>
          <w:p>
            <w:pPr>
              <w:spacing w:after="40"/>
              <w:jc w:val="left"/>
            </w:pPr>
            <w:r>
              <w:rPr>
                <w:b w:val="false"/>
                <w:bCs w:val="false"/>
                <w:color w:val="1B1B1B"/>
                <w:sz w:val="19"/>
                <w:szCs w:val="19"/>
              </w:rPr>
              <w:t xml:space="preserve">auth.service.ts, auth.controller.ts, jwt-auth.guard.ts</w:t>
            </w:r>
          </w:p>
        </w:tc>
      </w:tr>
      <w:tr>
        <w:tc>
          <w:tcPr>
            <w:tcW w:type="dxa" w:w="170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users</w:t>
            </w:r>
          </w:p>
        </w:tc>
        <w:tc>
          <w:tcPr>
            <w:tcW w:type="dxa" w:w="426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Perfil del usuario autenticado y ranking semanal.</w:t>
            </w:r>
          </w:p>
        </w:tc>
        <w:tc>
          <w:tcPr>
            <w:tcW w:type="dxa" w:w="340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users.controller.ts, users.service.ts</w:t>
            </w:r>
          </w:p>
        </w:tc>
      </w:tr>
      <w:tr>
        <w:tc>
          <w:tcPr>
            <w:tcW w:type="dxa" w:w="1700"/>
            <w:tcMar>
              <w:top w:type="dxa" w:w="80"/>
              <w:left w:type="dxa" w:w="100"/>
              <w:bottom w:type="dxa" w:w="80"/>
              <w:right w:type="dxa" w:w="100"/>
            </w:tcMar>
            <w:vAlign w:val="center"/>
          </w:tcPr>
          <w:p>
            <w:pPr>
              <w:spacing w:after="40"/>
              <w:jc w:val="left"/>
            </w:pPr>
            <w:r>
              <w:rPr>
                <w:b w:val="false"/>
                <w:bCs w:val="false"/>
                <w:color w:val="1B1B1B"/>
                <w:sz w:val="19"/>
                <w:szCs w:val="19"/>
              </w:rPr>
              <w:t xml:space="preserve">recycling-records</w:t>
            </w:r>
          </w:p>
        </w:tc>
        <w:tc>
          <w:tcPr>
            <w:tcW w:type="dxa" w:w="4260"/>
            <w:tcMar>
              <w:top w:type="dxa" w:w="80"/>
              <w:left w:type="dxa" w:w="100"/>
              <w:bottom w:type="dxa" w:w="80"/>
              <w:right w:type="dxa" w:w="100"/>
            </w:tcMar>
            <w:vAlign w:val="center"/>
          </w:tcPr>
          <w:p>
            <w:pPr>
              <w:spacing w:after="40"/>
              <w:jc w:val="left"/>
            </w:pPr>
            <w:r>
              <w:rPr>
                <w:b w:val="false"/>
                <w:bCs w:val="false"/>
                <w:color w:val="1B1B1B"/>
                <w:sz w:val="19"/>
                <w:szCs w:val="19"/>
              </w:rPr>
              <w:t xml:space="preserve">Registro de reciclajes (cliente) y validación (validador/admin). Calcula CO2 ahorrado y puntos.</w:t>
            </w:r>
          </w:p>
        </w:tc>
        <w:tc>
          <w:tcPr>
            <w:tcW w:type="dxa" w:w="3400"/>
            <w:tcMar>
              <w:top w:type="dxa" w:w="80"/>
              <w:left w:type="dxa" w:w="100"/>
              <w:bottom w:type="dxa" w:w="80"/>
              <w:right w:type="dxa" w:w="100"/>
            </w:tcMar>
            <w:vAlign w:val="center"/>
          </w:tcPr>
          <w:p>
            <w:pPr>
              <w:spacing w:after="40"/>
              <w:jc w:val="left"/>
            </w:pPr>
            <w:r>
              <w:rPr>
                <w:b w:val="false"/>
                <w:bCs w:val="false"/>
                <w:color w:val="1B1B1B"/>
                <w:sz w:val="19"/>
                <w:szCs w:val="19"/>
              </w:rPr>
              <w:t xml:space="preserve">recycling-records.service.ts</w:t>
            </w:r>
          </w:p>
        </w:tc>
      </w:tr>
      <w:tr>
        <w:tc>
          <w:tcPr>
            <w:tcW w:type="dxa" w:w="170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recycling-centers</w:t>
            </w:r>
          </w:p>
        </w:tc>
        <w:tc>
          <w:tcPr>
            <w:tcW w:type="dxa" w:w="426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Catálogo de centros de acopio y asignación de validadores a un centro.</w:t>
            </w:r>
          </w:p>
        </w:tc>
        <w:tc>
          <w:tcPr>
            <w:tcW w:type="dxa" w:w="340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recycling-centers.service.ts, user-recycling-center.entity.ts</w:t>
            </w:r>
          </w:p>
        </w:tc>
      </w:tr>
      <w:tr>
        <w:tc>
          <w:tcPr>
            <w:tcW w:type="dxa" w:w="1700"/>
            <w:tcMar>
              <w:top w:type="dxa" w:w="80"/>
              <w:left w:type="dxa" w:w="100"/>
              <w:bottom w:type="dxa" w:w="80"/>
              <w:right w:type="dxa" w:w="100"/>
            </w:tcMar>
            <w:vAlign w:val="center"/>
          </w:tcPr>
          <w:p>
            <w:pPr>
              <w:spacing w:after="40"/>
              <w:jc w:val="left"/>
            </w:pPr>
            <w:r>
              <w:rPr>
                <w:b w:val="false"/>
                <w:bCs w:val="false"/>
                <w:color w:val="1B1B1B"/>
                <w:sz w:val="19"/>
                <w:szCs w:val="19"/>
              </w:rPr>
              <w:t xml:space="preserve">materials</w:t>
            </w:r>
          </w:p>
        </w:tc>
        <w:tc>
          <w:tcPr>
            <w:tcW w:type="dxa" w:w="4260"/>
            <w:tcMar>
              <w:top w:type="dxa" w:w="80"/>
              <w:left w:type="dxa" w:w="100"/>
              <w:bottom w:type="dxa" w:w="80"/>
              <w:right w:type="dxa" w:w="100"/>
            </w:tcMar>
            <w:vAlign w:val="center"/>
          </w:tcPr>
          <w:p>
            <w:pPr>
              <w:spacing w:after="40"/>
              <w:jc w:val="left"/>
            </w:pPr>
            <w:r>
              <w:rPr>
                <w:b w:val="false"/>
                <w:bCs w:val="false"/>
                <w:color w:val="1B1B1B"/>
                <w:sz w:val="19"/>
                <w:szCs w:val="19"/>
              </w:rPr>
              <w:t xml:space="preserve">Catálogo de materiales reciclables con su tasa de puntos y CO2 por kg.</w:t>
            </w:r>
          </w:p>
        </w:tc>
        <w:tc>
          <w:tcPr>
            <w:tcW w:type="dxa" w:w="3400"/>
            <w:tcMar>
              <w:top w:type="dxa" w:w="80"/>
              <w:left w:type="dxa" w:w="100"/>
              <w:bottom w:type="dxa" w:w="80"/>
              <w:right w:type="dxa" w:w="100"/>
            </w:tcMar>
            <w:vAlign w:val="center"/>
          </w:tcPr>
          <w:p>
            <w:pPr>
              <w:spacing w:after="40"/>
              <w:jc w:val="left"/>
            </w:pPr>
            <w:r>
              <w:rPr>
                <w:b w:val="false"/>
                <w:bCs w:val="false"/>
                <w:color w:val="1B1B1B"/>
                <w:sz w:val="19"/>
                <w:szCs w:val="19"/>
              </w:rPr>
              <w:t xml:space="preserve">materials.service.ts, material.entity.ts</w:t>
            </w:r>
          </w:p>
        </w:tc>
      </w:tr>
      <w:tr>
        <w:tc>
          <w:tcPr>
            <w:tcW w:type="dxa" w:w="170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wallet</w:t>
            </w:r>
          </w:p>
        </w:tc>
        <w:tc>
          <w:tcPr>
            <w:tcW w:type="dxa" w:w="426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Billetera de EcoPuntos: saldo, historial de movimientos y canje de cupones.</w:t>
            </w:r>
          </w:p>
        </w:tc>
        <w:tc>
          <w:tcPr>
            <w:tcW w:type="dxa" w:w="340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wallet.service.ts</w:t>
            </w:r>
          </w:p>
        </w:tc>
      </w:tr>
      <w:tr>
        <w:tc>
          <w:tcPr>
            <w:tcW w:type="dxa" w:w="1700"/>
            <w:tcMar>
              <w:top w:type="dxa" w:w="80"/>
              <w:left w:type="dxa" w:w="100"/>
              <w:bottom w:type="dxa" w:w="80"/>
              <w:right w:type="dxa" w:w="100"/>
            </w:tcMar>
            <w:vAlign w:val="center"/>
          </w:tcPr>
          <w:p>
            <w:pPr>
              <w:spacing w:after="40"/>
              <w:jc w:val="left"/>
            </w:pPr>
            <w:r>
              <w:rPr>
                <w:b w:val="false"/>
                <w:bCs w:val="false"/>
                <w:color w:val="1B1B1B"/>
                <w:sz w:val="19"/>
                <w:szCs w:val="19"/>
              </w:rPr>
              <w:t xml:space="preserve">coupons</w:t>
            </w:r>
          </w:p>
        </w:tc>
        <w:tc>
          <w:tcPr>
            <w:tcW w:type="dxa" w:w="4260"/>
            <w:tcMar>
              <w:top w:type="dxa" w:w="80"/>
              <w:left w:type="dxa" w:w="100"/>
              <w:bottom w:type="dxa" w:w="80"/>
              <w:right w:type="dxa" w:w="100"/>
            </w:tcMar>
            <w:vAlign w:val="center"/>
          </w:tcPr>
          <w:p>
            <w:pPr>
              <w:spacing w:after="40"/>
              <w:jc w:val="left"/>
            </w:pPr>
            <w:r>
              <w:rPr>
                <w:b w:val="false"/>
                <w:bCs w:val="false"/>
                <w:color w:val="1B1B1B"/>
                <w:sz w:val="19"/>
                <w:szCs w:val="19"/>
              </w:rPr>
              <w:t xml:space="preserve">Catálogo de cupones canjeables por puntos.</w:t>
            </w:r>
          </w:p>
        </w:tc>
        <w:tc>
          <w:tcPr>
            <w:tcW w:type="dxa" w:w="3400"/>
            <w:tcMar>
              <w:top w:type="dxa" w:w="80"/>
              <w:left w:type="dxa" w:w="100"/>
              <w:bottom w:type="dxa" w:w="80"/>
              <w:right w:type="dxa" w:w="100"/>
            </w:tcMar>
            <w:vAlign w:val="center"/>
          </w:tcPr>
          <w:p>
            <w:pPr>
              <w:spacing w:after="40"/>
              <w:jc w:val="left"/>
            </w:pPr>
            <w:r>
              <w:rPr>
                <w:b w:val="false"/>
                <w:bCs w:val="false"/>
                <w:color w:val="1B1B1B"/>
                <w:sz w:val="19"/>
                <w:szCs w:val="19"/>
              </w:rPr>
              <w:t xml:space="preserve">coupons.service.ts, coupon.entity.ts</w:t>
            </w:r>
          </w:p>
        </w:tc>
      </w:tr>
      <w:tr>
        <w:tc>
          <w:tcPr>
            <w:tcW w:type="dxa" w:w="170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admin</w:t>
            </w:r>
          </w:p>
        </w:tc>
        <w:tc>
          <w:tcPr>
            <w:tcW w:type="dxa" w:w="426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Panel administrativo: gestión de centros, cupones y validadores. Protegido por AdminGuard.</w:t>
            </w:r>
          </w:p>
        </w:tc>
        <w:tc>
          <w:tcPr>
            <w:tcW w:type="dxa" w:w="340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admin.controller.ts, admin.guard.ts</w:t>
            </w:r>
          </w:p>
        </w:tc>
      </w:tr>
    </w:tbl>
    <w:p>
      <w:pPr>
        <w:spacing w:after="150"/>
      </w:pPr>
    </w:p>
    <w:p>
      <w:pPr>
        <w:pStyle w:val="Heading3"/>
        <w:spacing w:after="100" w:before="220"/>
      </w:pPr>
      <w:r>
        <w:rPr>
          <w:b/>
          <w:bCs/>
          <w:color w:val="2E7D32"/>
          <w:sz w:val="22"/>
          <w:szCs w:val="22"/>
        </w:rPr>
        <w:t xml:space="preserve">Perfiles de usuario (roles del sistema)</w:t>
      </w:r>
    </w:p>
    <w:p>
      <w:pPr>
        <w:spacing w:after="150" w:line="276"/>
      </w:pPr>
      <w:r>
        <w:rPr>
          <w:sz w:val="21"/>
          <w:szCs w:val="21"/>
        </w:rPr>
        <w:t xml:space="preserve">El backend define un enum de roles (UserRoleEnum) que determina qué endpoints puede usar cada usuario. Esto es la base para las pruebas de control de acceso: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260"/>
      </w:tblGrid>
      <w:tr>
        <w:trPr>
          <w:tblHeader/>
        </w:trPr>
        <w:tc>
          <w:tcPr>
            <w:tcW w:type="dxa" w:w="1900"/>
            <w:shd w:fill="2E7D32" w:val="clear"/>
            <w:tcMar>
              <w:top w:type="dxa" w:w="80"/>
              <w:left w:type="dxa" w:w="100"/>
              <w:bottom w:type="dxa" w:w="80"/>
              <w:right w:type="dxa" w:w="100"/>
            </w:tcMar>
            <w:vAlign w:val="center"/>
          </w:tcPr>
          <w:p>
            <w:pPr>
              <w:spacing w:after="40"/>
              <w:jc w:val="center"/>
            </w:pPr>
            <w:r>
              <w:rPr>
                <w:b/>
                <w:bCs/>
                <w:color w:val="FFFFFF"/>
                <w:sz w:val="19"/>
                <w:szCs w:val="19"/>
              </w:rPr>
              <w:t xml:space="preserve">Rol</w:t>
            </w:r>
          </w:p>
        </w:tc>
        <w:tc>
          <w:tcPr>
            <w:tcW w:type="dxa" w:w="4200"/>
            <w:shd w:fill="2E7D32" w:val="clear"/>
            <w:tcMar>
              <w:top w:type="dxa" w:w="80"/>
              <w:left w:type="dxa" w:w="100"/>
              <w:bottom w:type="dxa" w:w="80"/>
              <w:right w:type="dxa" w:w="100"/>
            </w:tcMar>
            <w:vAlign w:val="center"/>
          </w:tcPr>
          <w:p>
            <w:pPr>
              <w:spacing w:after="40"/>
              <w:jc w:val="center"/>
            </w:pPr>
            <w:r>
              <w:rPr>
                <w:b/>
                <w:bCs/>
                <w:color w:val="FFFFFF"/>
                <w:sz w:val="19"/>
                <w:szCs w:val="19"/>
              </w:rPr>
              <w:t xml:space="preserve">Descripción funcional</w:t>
            </w:r>
          </w:p>
        </w:tc>
        <w:tc>
          <w:tcPr>
            <w:tcW w:type="dxa" w:w="3260"/>
            <w:shd w:fill="2E7D32" w:val="clear"/>
            <w:tcMar>
              <w:top w:type="dxa" w:w="80"/>
              <w:left w:type="dxa" w:w="100"/>
              <w:bottom w:type="dxa" w:w="80"/>
              <w:right w:type="dxa" w:w="100"/>
            </w:tcMar>
            <w:vAlign w:val="center"/>
          </w:tcPr>
          <w:p>
            <w:pPr>
              <w:spacing w:after="40"/>
              <w:jc w:val="center"/>
            </w:pPr>
            <w:r>
              <w:rPr>
                <w:b/>
                <w:bCs/>
                <w:color w:val="FFFFFF"/>
                <w:sz w:val="19"/>
                <w:szCs w:val="19"/>
              </w:rPr>
              <w:t xml:space="preserve">Permisos / restricciones clave</w:t>
            </w:r>
          </w:p>
        </w:tc>
      </w:tr>
      <w:tr>
        <w:tc>
          <w:tcPr>
            <w:tcW w:type="dxa" w:w="1900"/>
            <w:tcMar>
              <w:top w:type="dxa" w:w="80"/>
              <w:left w:type="dxa" w:w="100"/>
              <w:bottom w:type="dxa" w:w="80"/>
              <w:right w:type="dxa" w:w="100"/>
            </w:tcMar>
            <w:vAlign w:val="center"/>
          </w:tcPr>
          <w:p>
            <w:pPr>
              <w:spacing w:after="40"/>
              <w:jc w:val="left"/>
            </w:pPr>
            <w:r>
              <w:rPr>
                <w:b w:val="false"/>
                <w:bCs w:val="false"/>
                <w:color w:val="1B1B1B"/>
                <w:sz w:val="19"/>
                <w:szCs w:val="19"/>
              </w:rPr>
              <w:t xml:space="preserve">Cliente</w:t>
            </w:r>
          </w:p>
        </w:tc>
        <w:tc>
          <w:tcPr>
            <w:tcW w:type="dxa" w:w="4200"/>
            <w:tcMar>
              <w:top w:type="dxa" w:w="80"/>
              <w:left w:type="dxa" w:w="100"/>
              <w:bottom w:type="dxa" w:w="80"/>
              <w:right w:type="dxa" w:w="100"/>
            </w:tcMar>
            <w:vAlign w:val="center"/>
          </w:tcPr>
          <w:p>
            <w:pPr>
              <w:spacing w:after="40"/>
              <w:jc w:val="left"/>
            </w:pPr>
            <w:r>
              <w:rPr>
                <w:b w:val="false"/>
                <w:bCs w:val="false"/>
                <w:color w:val="1B1B1B"/>
                <w:sz w:val="19"/>
                <w:szCs w:val="19"/>
              </w:rPr>
              <w:t xml:space="preserve">Usuario estándar de la app. Es el único rol al que se le crea billetera (wallet) al registrarse.</w:t>
            </w:r>
          </w:p>
        </w:tc>
        <w:tc>
          <w:tcPr>
            <w:tcW w:type="dxa" w:w="3260"/>
            <w:tcMar>
              <w:top w:type="dxa" w:w="80"/>
              <w:left w:type="dxa" w:w="100"/>
              <w:bottom w:type="dxa" w:w="80"/>
              <w:right w:type="dxa" w:w="100"/>
            </w:tcMar>
            <w:vAlign w:val="center"/>
          </w:tcPr>
          <w:p>
            <w:pPr>
              <w:spacing w:after="40"/>
              <w:jc w:val="left"/>
            </w:pPr>
            <w:r>
              <w:rPr>
                <w:b w:val="false"/>
                <w:bCs w:val="false"/>
                <w:color w:val="1B1B1B"/>
                <w:sz w:val="19"/>
                <w:szCs w:val="19"/>
              </w:rPr>
              <w:t xml:space="preserve">Puede crear registros de reciclaje y canjear cupones. No puede validar ni acceder al panel admin.</w:t>
            </w:r>
          </w:p>
        </w:tc>
      </w:tr>
      <w:tr>
        <w:tc>
          <w:tcPr>
            <w:tcW w:type="dxa" w:w="190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Validador</w:t>
            </w:r>
          </w:p>
        </w:tc>
        <w:tc>
          <w:tcPr>
            <w:tcW w:type="dxa" w:w="420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Usuario asignado a un centro de acopio específico (user_recycling_center).</w:t>
            </w:r>
          </w:p>
        </w:tc>
        <w:tc>
          <w:tcPr>
            <w:tcW w:type="dxa" w:w="326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Solo puede ver y validar registros del centro al que está asignado (aprobar/rechazar).</w:t>
            </w:r>
          </w:p>
        </w:tc>
      </w:tr>
      <w:tr>
        <w:tc>
          <w:tcPr>
            <w:tcW w:type="dxa" w:w="1900"/>
            <w:tcMar>
              <w:top w:type="dxa" w:w="80"/>
              <w:left w:type="dxa" w:w="100"/>
              <w:bottom w:type="dxa" w:w="80"/>
              <w:right w:type="dxa" w:w="100"/>
            </w:tcMar>
            <w:vAlign w:val="center"/>
          </w:tcPr>
          <w:p>
            <w:pPr>
              <w:spacing w:after="40"/>
              <w:jc w:val="left"/>
            </w:pPr>
            <w:r>
              <w:rPr>
                <w:b w:val="false"/>
                <w:bCs w:val="false"/>
                <w:color w:val="1B1B1B"/>
                <w:sz w:val="19"/>
                <w:szCs w:val="19"/>
              </w:rPr>
              <w:t xml:space="preserve">Administrador</w:t>
            </w:r>
          </w:p>
        </w:tc>
        <w:tc>
          <w:tcPr>
            <w:tcW w:type="dxa" w:w="4200"/>
            <w:tcMar>
              <w:top w:type="dxa" w:w="80"/>
              <w:left w:type="dxa" w:w="100"/>
              <w:bottom w:type="dxa" w:w="80"/>
              <w:right w:type="dxa" w:w="100"/>
            </w:tcMar>
            <w:vAlign w:val="center"/>
          </w:tcPr>
          <w:p>
            <w:pPr>
              <w:spacing w:after="40"/>
              <w:jc w:val="left"/>
            </w:pPr>
            <w:r>
              <w:rPr>
                <w:b w:val="false"/>
                <w:bCs w:val="false"/>
                <w:color w:val="1B1B1B"/>
                <w:sz w:val="19"/>
                <w:szCs w:val="19"/>
              </w:rPr>
              <w:t xml:space="preserve">Rol con acceso total al panel admin.</w:t>
            </w:r>
          </w:p>
        </w:tc>
        <w:tc>
          <w:tcPr>
            <w:tcW w:type="dxa" w:w="3260"/>
            <w:tcMar>
              <w:top w:type="dxa" w:w="80"/>
              <w:left w:type="dxa" w:w="100"/>
              <w:bottom w:type="dxa" w:w="80"/>
              <w:right w:type="dxa" w:w="100"/>
            </w:tcMar>
            <w:vAlign w:val="center"/>
          </w:tcPr>
          <w:p>
            <w:pPr>
              <w:spacing w:after="40"/>
              <w:jc w:val="left"/>
            </w:pPr>
            <w:r>
              <w:rPr>
                <w:b w:val="false"/>
                <w:bCs w:val="false"/>
                <w:color w:val="1B1B1B"/>
                <w:sz w:val="19"/>
                <w:szCs w:val="19"/>
              </w:rPr>
              <w:t xml:space="preserve">Gestiona centros, cupones y validadores. Puede validar cualquier registro sin restricción de centro.</w:t>
            </w:r>
          </w:p>
        </w:tc>
      </w:tr>
    </w:tbl>
    <w:p>
      <w:pPr>
        <w:spacing w:after="150"/>
      </w:pPr>
    </w:p>
    <w:p>
      <w:pPr>
        <w:pBdr>
          <w:left w:val="single" w:color="F9A825" w:sz="18" w:space="8"/>
        </w:pBdr>
        <w:shd w:fill="FFF8E1" w:val="clear"/>
        <w:spacing w:after="200" w:before="100" w:line="276"/>
        <w:ind w:left="100"/>
      </w:pPr>
      <w:r>
        <w:rPr>
          <w:b/>
          <w:bCs/>
          <w:i/>
          <w:iCs/>
          <w:sz w:val="20"/>
          <w:szCs w:val="20"/>
        </w:rPr>
        <w:t xml:space="preserve">Nota: </w:t>
      </w:r>
      <w:r>
        <w:rPr>
          <w:i/>
          <w:iCs/>
          <w:sz w:val="20"/>
          <w:szCs w:val="20"/>
        </w:rPr>
        <w:t xml:space="preserve">El rol se valida tanto con guards (JwtAuthGuard, AdminGuard, ClientGuard) como con validaciones dentro de los propios servicios (por ejemplo, RecyclingRecordsService lanza ForbiddenException si un rol no autorizado intenta crear o validar un registro). Esto es importante porque implica que hay reglas de negocio que deben probarse en dos capas: el guard y el servicio.</w:t>
      </w:r>
    </w:p>
    <w:p>
      <w:pPr>
        <w:pStyle w:val="Heading2"/>
        <w:spacing w:after="150" w:before="300"/>
      </w:pPr>
      <w:r>
        <w:rPr>
          <w:b/>
          <w:bCs/>
          <w:color w:val="1B1B1B"/>
          <w:sz w:val="26"/>
          <w:szCs w:val="26"/>
        </w:rPr>
        <w:t xml:space="preserve">Redacción del objetivo</w:t>
      </w:r>
    </w:p>
    <w:p>
      <w:pPr>
        <w:spacing w:after="150" w:line="276"/>
      </w:pPr>
      <w:r>
        <w:rPr>
          <w:b/>
          <w:bCs/>
          <w:sz w:val="21"/>
          <w:szCs w:val="21"/>
        </w:rPr>
        <w:t xml:space="preserve">Propósito del sistema: </w:t>
      </w:r>
      <w:r>
        <w:rPr>
          <w:sz w:val="21"/>
          <w:szCs w:val="21"/>
        </w:rPr>
        <w:t xml:space="preserve">EcoTrack busca incentivar el reciclaje formal conectando a los clientes con centros de acopio físicos. Cada kilogramo reciclado y validado se traduce en EcoPuntos (a través de wallet), los cuales pueden canjearse por cupones reales, generando un ciclo de recompensa medible.</w:t>
      </w:r>
    </w:p>
    <w:p>
      <w:pPr>
        <w:spacing w:after="150" w:line="276"/>
      </w:pPr>
      <w:r>
        <w:rPr>
          <w:b/>
          <w:bCs/>
          <w:sz w:val="21"/>
          <w:szCs w:val="21"/>
        </w:rPr>
        <w:t xml:space="preserve">Objetivo de este proyecto integrador: </w:t>
      </w:r>
      <w:r>
        <w:rPr>
          <w:sz w:val="21"/>
          <w:szCs w:val="21"/>
        </w:rPr>
        <w:t xml:space="preserve">Diseñar y ejecutar una estrategia de pruebas de software (funcionales, de integración, E2E, de API y de rendimiento) sobre los módulos críticos de EcoTrack, integrarla en un pipeline CI/CD, y evaluar la seguridad y calidad del sistema según OWASP, con el fin de reducir el riesgo de fallos en el flujo económico de la plataforma (otorgamiento y canje de EcoPuntos).</w:t>
      </w:r>
    </w:p>
    <w:p>
      <w:pPr>
        <w:pStyle w:val="Heading2"/>
        <w:spacing w:after="150" w:before="300"/>
      </w:pPr>
      <w:r>
        <w:rPr>
          <w:b/>
          <w:bCs/>
          <w:color w:val="1B1B1B"/>
          <w:sz w:val="26"/>
          <w:szCs w:val="26"/>
        </w:rPr>
        <w:t xml:space="preserve">Delimitación del alcance</w:t>
      </w:r>
    </w:p>
    <w:p>
      <w:pPr>
        <w:spacing w:after="150" w:line="276"/>
      </w:pPr>
      <w:r>
        <w:rPr>
          <w:sz w:val="21"/>
          <w:szCs w:val="21"/>
        </w:rPr>
        <w:t xml:space="preserve">Dado el tiempo disponible del proyecto integrador, el alcance se delimita a los módulos con lógica de negocio más crítica (flujo de puntos y dinero virtual) y con mayor riesgo de fallo, dejando fuera módulos de soporte o presentacionales.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E7D32" w:val="clear"/>
            <w:tcMar>
              <w:top w:type="dxa" w:w="80"/>
              <w:left w:type="dxa" w:w="100"/>
              <w:bottom w:type="dxa" w:w="80"/>
              <w:right w:type="dxa" w:w="100"/>
            </w:tcMar>
            <w:vAlign w:val="center"/>
          </w:tcPr>
          <w:p>
            <w:pPr>
              <w:spacing w:after="40"/>
              <w:jc w:val="center"/>
            </w:pPr>
            <w:r>
              <w:rPr>
                <w:b/>
                <w:bCs/>
                <w:color w:val="FFFFFF"/>
                <w:sz w:val="19"/>
                <w:szCs w:val="19"/>
              </w:rPr>
              <w:t xml:space="preserve">Dentro del alcance</w:t>
            </w:r>
          </w:p>
        </w:tc>
        <w:tc>
          <w:tcPr>
            <w:tcW w:type="dxa" w:w="4680"/>
            <w:shd w:fill="2E7D32" w:val="clear"/>
            <w:tcMar>
              <w:top w:type="dxa" w:w="80"/>
              <w:left w:type="dxa" w:w="100"/>
              <w:bottom w:type="dxa" w:w="80"/>
              <w:right w:type="dxa" w:w="100"/>
            </w:tcMar>
            <w:vAlign w:val="center"/>
          </w:tcPr>
          <w:p>
            <w:pPr>
              <w:spacing w:after="40"/>
              <w:jc w:val="center"/>
            </w:pPr>
            <w:r>
              <w:rPr>
                <w:b/>
                <w:bCs/>
                <w:color w:val="FFFFFF"/>
                <w:sz w:val="19"/>
                <w:szCs w:val="19"/>
              </w:rPr>
              <w:t xml:space="preserve">Fuera del alcance</w:t>
            </w:r>
          </w:p>
        </w:tc>
      </w:tr>
      <w:tr>
        <w:tc>
          <w:tcPr>
            <w:tcW w:type="dxa" w:w="4680"/>
            <w:tcMar>
              <w:top w:type="dxa" w:w="80"/>
              <w:left w:type="dxa" w:w="100"/>
              <w:bottom w:type="dxa" w:w="80"/>
              <w:right w:type="dxa" w:w="100"/>
            </w:tcMar>
            <w:vAlign w:val="center"/>
          </w:tcPr>
          <w:p>
            <w:pPr>
              <w:spacing w:after="40"/>
              <w:jc w:val="left"/>
            </w:pPr>
            <w:r>
              <w:rPr>
                <w:b w:val="false"/>
                <w:bCs w:val="false"/>
                <w:color w:val="1B1B1B"/>
                <w:sz w:val="19"/>
                <w:szCs w:val="19"/>
              </w:rPr>
              <w:t xml:space="preserve">Autenticación: registro, login, JWT (auth)</w:t>
            </w:r>
          </w:p>
        </w:tc>
        <w:tc>
          <w:tcPr>
            <w:tcW w:type="dxa" w:w="4680"/>
            <w:tcMar>
              <w:top w:type="dxa" w:w="80"/>
              <w:left w:type="dxa" w:w="100"/>
              <w:bottom w:type="dxa" w:w="80"/>
              <w:right w:type="dxa" w:w="100"/>
            </w:tcMar>
            <w:vAlign w:val="center"/>
          </w:tcPr>
          <w:p>
            <w:pPr>
              <w:spacing w:after="40"/>
              <w:jc w:val="left"/>
            </w:pPr>
            <w:r>
              <w:rPr>
                <w:b w:val="false"/>
                <w:bCs w:val="false"/>
                <w:color w:val="1B1B1B"/>
                <w:sz w:val="19"/>
                <w:szCs w:val="19"/>
              </w:rPr>
              <w:t xml:space="preserve">Módulo assistant (chat / asistente IA) del frontend</w:t>
            </w:r>
          </w:p>
        </w:tc>
      </w:tr>
      <w:tr>
        <w:tc>
          <w:tcPr>
            <w:tcW w:type="dxa" w:w="468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Registro de reciclajes y su validación (recycling-records)</w:t>
            </w:r>
          </w:p>
        </w:tc>
        <w:tc>
          <w:tcPr>
            <w:tcW w:type="dxa" w:w="468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Gamificación visual / rankings de UI (solo se prueba el endpoint de ranking, no el diseño)</w:t>
            </w:r>
          </w:p>
        </w:tc>
      </w:tr>
      <w:tr>
        <w:tc>
          <w:tcPr>
            <w:tcW w:type="dxa" w:w="4680"/>
            <w:tcMar>
              <w:top w:type="dxa" w:w="80"/>
              <w:left w:type="dxa" w:w="100"/>
              <w:bottom w:type="dxa" w:w="80"/>
              <w:right w:type="dxa" w:w="100"/>
            </w:tcMar>
            <w:vAlign w:val="center"/>
          </w:tcPr>
          <w:p>
            <w:pPr>
              <w:spacing w:after="40"/>
              <w:jc w:val="left"/>
            </w:pPr>
            <w:r>
              <w:rPr>
                <w:b w:val="false"/>
                <w:bCs w:val="false"/>
                <w:color w:val="1B1B1B"/>
                <w:sz w:val="19"/>
                <w:szCs w:val="19"/>
              </w:rPr>
              <w:t xml:space="preserve">Billetera y canje de cupones (wallet)</w:t>
            </w:r>
          </w:p>
        </w:tc>
        <w:tc>
          <w:tcPr>
            <w:tcW w:type="dxa" w:w="4680"/>
            <w:tcMar>
              <w:top w:type="dxa" w:w="80"/>
              <w:left w:type="dxa" w:w="100"/>
              <w:bottom w:type="dxa" w:w="80"/>
              <w:right w:type="dxa" w:w="100"/>
            </w:tcMar>
            <w:vAlign w:val="center"/>
          </w:tcPr>
          <w:p>
            <w:pPr>
              <w:spacing w:after="40"/>
              <w:jc w:val="left"/>
            </w:pPr>
            <w:r>
              <w:rPr>
                <w:b w:val="false"/>
                <w:bCs w:val="false"/>
                <w:color w:val="1B1B1B"/>
                <w:sz w:val="19"/>
                <w:szCs w:val="19"/>
              </w:rPr>
              <w:t xml:space="preserve">Personalización de perfil (foto, preferencias)</w:t>
            </w:r>
          </w:p>
        </w:tc>
      </w:tr>
      <w:tr>
        <w:tc>
          <w:tcPr>
            <w:tcW w:type="dxa" w:w="468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Gestión de cupones y centros vía panel admin (admin, coupons, recycling-centers)</w:t>
            </w:r>
          </w:p>
        </w:tc>
        <w:tc>
          <w:tcPr>
            <w:tcW w:type="dxa" w:w="468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Pruebas de compatibilidad cross-browser exhaustivas</w:t>
            </w:r>
          </w:p>
        </w:tc>
      </w:tr>
      <w:tr>
        <w:tc>
          <w:tcPr>
            <w:tcW w:type="dxa" w:w="4680"/>
            <w:tcMar>
              <w:top w:type="dxa" w:w="80"/>
              <w:left w:type="dxa" w:w="100"/>
              <w:bottom w:type="dxa" w:w="80"/>
              <w:right w:type="dxa" w:w="100"/>
            </w:tcMar>
            <w:vAlign w:val="center"/>
          </w:tcPr>
          <w:p>
            <w:pPr>
              <w:spacing w:after="40"/>
              <w:jc w:val="left"/>
            </w:pPr>
            <w:r>
              <w:rPr>
                <w:b w:val="false"/>
                <w:bCs w:val="false"/>
                <w:color w:val="1B1B1B"/>
                <w:sz w:val="19"/>
                <w:szCs w:val="19"/>
              </w:rPr>
              <w:t xml:space="preserve">Control de acceso por rol (Cliente / Validador / Administrador)</w:t>
            </w:r>
          </w:p>
        </w:tc>
        <w:tc>
          <w:tcPr>
            <w:tcW w:type="dxa" w:w="4680"/>
            <w:tcMar>
              <w:top w:type="dxa" w:w="80"/>
              <w:left w:type="dxa" w:w="100"/>
              <w:bottom w:type="dxa" w:w="80"/>
              <w:right w:type="dxa" w:w="100"/>
            </w:tcMar>
            <w:vAlign w:val="center"/>
          </w:tcPr>
          <w:p>
            <w:pPr>
              <w:spacing w:after="40"/>
              <w:jc w:val="left"/>
            </w:pPr>
            <w:r>
              <w:rPr>
                <w:b w:val="false"/>
                <w:bCs w:val="false"/>
                <w:color w:val="1B1B1B"/>
                <w:sz w:val="19"/>
                <w:szCs w:val="19"/>
              </w:rPr>
              <w:t xml:space="preserve">Pruebas de carga sobre todos los endpoints (solo se prueba el endpoint crítico de login, según lo definido en 2.1)</w:t>
            </w:r>
          </w:p>
        </w:tc>
      </w:tr>
    </w:tbl>
    <w:p>
      <w:pPr>
        <w:spacing w:after="100"/>
      </w:pPr>
    </w:p>
    <w:p>
      <w:pPr>
        <w:pBdr>
          <w:left w:val="single" w:color="F9A825" w:sz="18" w:space="8"/>
        </w:pBdr>
        <w:shd w:fill="FFF8E1" w:val="clear"/>
        <w:spacing w:after="200" w:before="100" w:line="276"/>
        <w:ind w:left="100"/>
      </w:pPr>
      <w:r>
        <w:rPr>
          <w:b/>
          <w:bCs/>
          <w:i/>
          <w:iCs/>
          <w:sz w:val="20"/>
          <w:szCs w:val="20"/>
        </w:rPr>
        <w:t xml:space="preserve">Nota: </w:t>
      </w:r>
      <w:r>
        <w:rPr>
          <w:i/>
          <w:iCs/>
          <w:sz w:val="20"/>
          <w:szCs w:val="20"/>
        </w:rPr>
        <w:t xml:space="preserve">Esta tabla responde directamente al entregable "Delimitación del Alcance" pedido en la rúbrica: especifica qué módulos exactos se someten a pruebas.</w:t>
      </w:r>
    </w:p>
    <w:p>
      <w:r>
        <w:br w:type="page"/>
      </w:r>
    </w:p>
    <w:p>
      <w:pPr>
        <w:pStyle w:val="Heading1"/>
        <w:pBdr>
          <w:bottom w:val="single" w:color="2E7D32" w:sz="10" w:space="4"/>
        </w:pBdr>
        <w:spacing w:after="200" w:before="400"/>
      </w:pPr>
      <w:r>
        <w:rPr>
          <w:b/>
          <w:bCs/>
          <w:color w:val="2E7D32"/>
          <w:sz w:val="32"/>
          <w:szCs w:val="32"/>
        </w:rPr>
        <w:t xml:space="preserve">1.2  Plan y Estrategia de Pruebas (ISTQB / ISO 29119)</w:t>
      </w:r>
    </w:p>
    <w:p>
      <w:pPr>
        <w:pStyle w:val="Heading2"/>
        <w:spacing w:after="150" w:before="300"/>
      </w:pPr>
      <w:r>
        <w:rPr>
          <w:b/>
          <w:bCs/>
          <w:color w:val="1B1B1B"/>
          <w:sz w:val="26"/>
          <w:szCs w:val="26"/>
        </w:rPr>
        <w:t xml:space="preserve">Niveles de prueba</w:t>
      </w:r>
    </w:p>
    <w:p>
      <w:pPr>
        <w:spacing w:after="150" w:line="276"/>
      </w:pPr>
      <w:r>
        <w:rPr>
          <w:sz w:val="21"/>
          <w:szCs w:val="21"/>
        </w:rPr>
        <w:t xml:space="preserve">Siguiendo la pirámide de pruebas de ISTQB, se definen tres niveles, cada uno mapeado a una capa real de la arquitectura de EcoTrack: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3050"/>
        <w:gridCol w:w="2200"/>
        <w:gridCol w:w="2460"/>
      </w:tblGrid>
      <w:tr>
        <w:trPr>
          <w:tblHeader/>
        </w:trPr>
        <w:tc>
          <w:tcPr>
            <w:tcW w:type="dxa" w:w="1650"/>
            <w:shd w:fill="2E7D32" w:val="clear"/>
            <w:tcMar>
              <w:top w:type="dxa" w:w="80"/>
              <w:left w:type="dxa" w:w="100"/>
              <w:bottom w:type="dxa" w:w="80"/>
              <w:right w:type="dxa" w:w="100"/>
            </w:tcMar>
            <w:vAlign w:val="center"/>
          </w:tcPr>
          <w:p>
            <w:pPr>
              <w:spacing w:after="40"/>
              <w:jc w:val="center"/>
            </w:pPr>
            <w:r>
              <w:rPr>
                <w:b/>
                <w:bCs/>
                <w:color w:val="FFFFFF"/>
                <w:sz w:val="19"/>
                <w:szCs w:val="19"/>
              </w:rPr>
              <w:t xml:space="preserve">Nivel</w:t>
            </w:r>
          </w:p>
        </w:tc>
        <w:tc>
          <w:tcPr>
            <w:tcW w:type="dxa" w:w="3050"/>
            <w:shd w:fill="2E7D32" w:val="clear"/>
            <w:tcMar>
              <w:top w:type="dxa" w:w="80"/>
              <w:left w:type="dxa" w:w="100"/>
              <w:bottom w:type="dxa" w:w="80"/>
              <w:right w:type="dxa" w:w="100"/>
            </w:tcMar>
            <w:vAlign w:val="center"/>
          </w:tcPr>
          <w:p>
            <w:pPr>
              <w:spacing w:after="40"/>
              <w:jc w:val="center"/>
            </w:pPr>
            <w:r>
              <w:rPr>
                <w:b/>
                <w:bCs/>
                <w:color w:val="FFFFFF"/>
                <w:sz w:val="19"/>
                <w:szCs w:val="19"/>
              </w:rPr>
              <w:t xml:space="preserve">Qué valida</w:t>
            </w:r>
          </w:p>
        </w:tc>
        <w:tc>
          <w:tcPr>
            <w:tcW w:type="dxa" w:w="2200"/>
            <w:shd w:fill="2E7D32" w:val="clear"/>
            <w:tcMar>
              <w:top w:type="dxa" w:w="80"/>
              <w:left w:type="dxa" w:w="100"/>
              <w:bottom w:type="dxa" w:w="80"/>
              <w:right w:type="dxa" w:w="100"/>
            </w:tcMar>
            <w:vAlign w:val="center"/>
          </w:tcPr>
          <w:p>
            <w:pPr>
              <w:spacing w:after="40"/>
              <w:jc w:val="center"/>
            </w:pPr>
            <w:r>
              <w:rPr>
                <w:b/>
                <w:bCs/>
                <w:color w:val="FFFFFF"/>
                <w:sz w:val="19"/>
                <w:szCs w:val="19"/>
              </w:rPr>
              <w:t xml:space="preserve">Herramienta</w:t>
            </w:r>
          </w:p>
        </w:tc>
        <w:tc>
          <w:tcPr>
            <w:tcW w:type="dxa" w:w="2460"/>
            <w:shd w:fill="2E7D32" w:val="clear"/>
            <w:tcMar>
              <w:top w:type="dxa" w:w="80"/>
              <w:left w:type="dxa" w:w="100"/>
              <w:bottom w:type="dxa" w:w="80"/>
              <w:right w:type="dxa" w:w="100"/>
            </w:tcMar>
            <w:vAlign w:val="center"/>
          </w:tcPr>
          <w:p>
            <w:pPr>
              <w:spacing w:after="40"/>
              <w:jc w:val="center"/>
            </w:pPr>
            <w:r>
              <w:rPr>
                <w:b/>
                <w:bCs/>
                <w:color w:val="FFFFFF"/>
                <w:sz w:val="19"/>
                <w:szCs w:val="19"/>
              </w:rPr>
              <w:t xml:space="preserve">Ejemplo concreto en EcoTrack</w:t>
            </w:r>
          </w:p>
        </w:tc>
      </w:tr>
      <w:tr>
        <w:tc>
          <w:tcPr>
            <w:tcW w:type="dxa" w:w="1650"/>
            <w:tcMar>
              <w:top w:type="dxa" w:w="80"/>
              <w:left w:type="dxa" w:w="100"/>
              <w:bottom w:type="dxa" w:w="80"/>
              <w:right w:type="dxa" w:w="100"/>
            </w:tcMar>
            <w:vAlign w:val="center"/>
          </w:tcPr>
          <w:p>
            <w:pPr>
              <w:spacing w:after="40"/>
              <w:jc w:val="left"/>
            </w:pPr>
            <w:r>
              <w:rPr>
                <w:b w:val="false"/>
                <w:bCs w:val="false"/>
                <w:color w:val="1B1B1B"/>
                <w:sz w:val="19"/>
                <w:szCs w:val="19"/>
              </w:rPr>
              <w:t xml:space="preserve">Unitarias</w:t>
            </w:r>
          </w:p>
        </w:tc>
        <w:tc>
          <w:tcPr>
            <w:tcW w:type="dxa" w:w="3050"/>
            <w:tcMar>
              <w:top w:type="dxa" w:w="80"/>
              <w:left w:type="dxa" w:w="100"/>
              <w:bottom w:type="dxa" w:w="80"/>
              <w:right w:type="dxa" w:w="100"/>
            </w:tcMar>
            <w:vAlign w:val="center"/>
          </w:tcPr>
          <w:p>
            <w:pPr>
              <w:spacing w:after="40"/>
              <w:jc w:val="left"/>
            </w:pPr>
            <w:r>
              <w:rPr>
                <w:b w:val="false"/>
                <w:bCs w:val="false"/>
                <w:color w:val="1B1B1B"/>
                <w:sz w:val="19"/>
                <w:szCs w:val="19"/>
              </w:rPr>
              <w:t xml:space="preserve">Lógica interna de un servicio, aislada de la base de datos y de HTTP (mocks de los repositorios de TypeORM).</w:t>
            </w:r>
          </w:p>
        </w:tc>
        <w:tc>
          <w:tcPr>
            <w:tcW w:type="dxa" w:w="2200"/>
            <w:tcMar>
              <w:top w:type="dxa" w:w="80"/>
              <w:left w:type="dxa" w:w="100"/>
              <w:bottom w:type="dxa" w:w="80"/>
              <w:right w:type="dxa" w:w="100"/>
            </w:tcMar>
            <w:vAlign w:val="center"/>
          </w:tcPr>
          <w:p>
            <w:pPr>
              <w:spacing w:after="40"/>
              <w:jc w:val="left"/>
            </w:pPr>
            <w:r>
              <w:rPr>
                <w:b w:val="false"/>
                <w:bCs w:val="false"/>
                <w:color w:val="1B1B1B"/>
                <w:sz w:val="19"/>
                <w:szCs w:val="19"/>
              </w:rPr>
              <w:t xml:space="preserve">Jest</w:t>
            </w:r>
          </w:p>
        </w:tc>
        <w:tc>
          <w:tcPr>
            <w:tcW w:type="dxa" w:w="2460"/>
            <w:tcMar>
              <w:top w:type="dxa" w:w="80"/>
              <w:left w:type="dxa" w:w="100"/>
              <w:bottom w:type="dxa" w:w="80"/>
              <w:right w:type="dxa" w:w="100"/>
            </w:tcMar>
            <w:vAlign w:val="center"/>
          </w:tcPr>
          <w:p>
            <w:pPr>
              <w:spacing w:after="40"/>
              <w:jc w:val="left"/>
            </w:pPr>
            <w:r>
              <w:rPr>
                <w:b w:val="false"/>
                <w:bCs w:val="false"/>
                <w:color w:val="1B1B1B"/>
                <w:sz w:val="19"/>
                <w:szCs w:val="19"/>
              </w:rPr>
              <w:t xml:space="preserve">Cálculo de earnedPoints y savedCo2 en RecyclingRecordsService.create(); cálculo de expiresAt en WalletService.redeemCoupon().</w:t>
            </w:r>
          </w:p>
        </w:tc>
      </w:tr>
      <w:tr>
        <w:tc>
          <w:tcPr>
            <w:tcW w:type="dxa" w:w="165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Integración</w:t>
            </w:r>
          </w:p>
        </w:tc>
        <w:tc>
          <w:tcPr>
            <w:tcW w:type="dxa" w:w="305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Un controlador NestJS junto con su servicio y la base de datos real (o de prueba), incluyendo guards.</w:t>
            </w:r>
          </w:p>
        </w:tc>
        <w:tc>
          <w:tcPr>
            <w:tcW w:type="dxa" w:w="220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Jest + Supertest, DB de pruebas en Docker</w:t>
            </w:r>
          </w:p>
        </w:tc>
        <w:tc>
          <w:tcPr>
            <w:tcW w:type="dxa" w:w="246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POST /recycling-records con JwtAuthGuard + ClientGuard activos, verificando que persiste en PostgreSQL.</w:t>
            </w:r>
          </w:p>
        </w:tc>
      </w:tr>
      <w:tr>
        <w:tc>
          <w:tcPr>
            <w:tcW w:type="dxa" w:w="1650"/>
            <w:tcMar>
              <w:top w:type="dxa" w:w="80"/>
              <w:left w:type="dxa" w:w="100"/>
              <w:bottom w:type="dxa" w:w="80"/>
              <w:right w:type="dxa" w:w="100"/>
            </w:tcMar>
            <w:vAlign w:val="center"/>
          </w:tcPr>
          <w:p>
            <w:pPr>
              <w:spacing w:after="40"/>
              <w:jc w:val="left"/>
            </w:pPr>
            <w:r>
              <w:rPr>
                <w:b w:val="false"/>
                <w:bCs w:val="false"/>
                <w:color w:val="1B1B1B"/>
                <w:sz w:val="19"/>
                <w:szCs w:val="19"/>
              </w:rPr>
              <w:t xml:space="preserve">End-to-End (E2E)</w:t>
            </w:r>
          </w:p>
        </w:tc>
        <w:tc>
          <w:tcPr>
            <w:tcW w:type="dxa" w:w="3050"/>
            <w:tcMar>
              <w:top w:type="dxa" w:w="80"/>
              <w:left w:type="dxa" w:w="100"/>
              <w:bottom w:type="dxa" w:w="80"/>
              <w:right w:type="dxa" w:w="100"/>
            </w:tcMar>
            <w:vAlign w:val="center"/>
          </w:tcPr>
          <w:p>
            <w:pPr>
              <w:spacing w:after="40"/>
              <w:jc w:val="left"/>
            </w:pPr>
            <w:r>
              <w:rPr>
                <w:b w:val="false"/>
                <w:bCs w:val="false"/>
                <w:color w:val="1B1B1B"/>
                <w:sz w:val="19"/>
                <w:szCs w:val="19"/>
              </w:rPr>
              <w:t xml:space="preserve">Un flujo completo desde la interfaz, atravesando frontend y backend reales.</w:t>
            </w:r>
          </w:p>
        </w:tc>
        <w:tc>
          <w:tcPr>
            <w:tcW w:type="dxa" w:w="2200"/>
            <w:tcMar>
              <w:top w:type="dxa" w:w="80"/>
              <w:left w:type="dxa" w:w="100"/>
              <w:bottom w:type="dxa" w:w="80"/>
              <w:right w:type="dxa" w:w="100"/>
            </w:tcMar>
            <w:vAlign w:val="center"/>
          </w:tcPr>
          <w:p>
            <w:pPr>
              <w:spacing w:after="40"/>
              <w:jc w:val="left"/>
            </w:pPr>
            <w:r>
              <w:rPr>
                <w:b w:val="false"/>
                <w:bCs w:val="false"/>
                <w:color w:val="1B1B1B"/>
                <w:sz w:val="19"/>
                <w:szCs w:val="19"/>
              </w:rPr>
              <w:t xml:space="preserve">Cypress o Playwright</w:t>
            </w:r>
          </w:p>
        </w:tc>
        <w:tc>
          <w:tcPr>
            <w:tcW w:type="dxa" w:w="2460"/>
            <w:tcMar>
              <w:top w:type="dxa" w:w="80"/>
              <w:left w:type="dxa" w:w="100"/>
              <w:bottom w:type="dxa" w:w="80"/>
              <w:right w:type="dxa" w:w="100"/>
            </w:tcMar>
            <w:vAlign w:val="center"/>
          </w:tcPr>
          <w:p>
            <w:pPr>
              <w:spacing w:after="40"/>
              <w:jc w:val="left"/>
            </w:pPr>
            <w:r>
              <w:rPr>
                <w:b w:val="false"/>
                <w:bCs w:val="false"/>
                <w:color w:val="1B1B1B"/>
                <w:sz w:val="19"/>
                <w:szCs w:val="19"/>
              </w:rPr>
              <w:t xml:space="preserve">Un cliente inicia sesión, registra un reciclaje y luego canjea un cupón desde la pantalla de gamification/wallet.</w:t>
            </w:r>
          </w:p>
        </w:tc>
      </w:tr>
    </w:tbl>
    <w:p>
      <w:pPr>
        <w:spacing w:after="150"/>
      </w:pPr>
    </w:p>
    <w:p>
      <w:pPr>
        <w:pStyle w:val="Heading2"/>
        <w:spacing w:after="150" w:before="300"/>
      </w:pPr>
      <w:r>
        <w:rPr>
          <w:b/>
          <w:bCs/>
          <w:color w:val="1B1B1B"/>
          <w:sz w:val="26"/>
          <w:szCs w:val="26"/>
        </w:rPr>
        <w:t xml:space="preserve">Tipos de prueba seleccionados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350"/>
        <w:gridCol w:w="6810"/>
      </w:tblGrid>
      <w:tr>
        <w:trPr>
          <w:tblHeader/>
        </w:trPr>
        <w:tc>
          <w:tcPr>
            <w:tcW w:type="dxa" w:w="2350"/>
            <w:shd w:fill="2E7D32" w:val="clear"/>
            <w:tcMar>
              <w:top w:type="dxa" w:w="80"/>
              <w:left w:type="dxa" w:w="100"/>
              <w:bottom w:type="dxa" w:w="80"/>
              <w:right w:type="dxa" w:w="100"/>
            </w:tcMar>
            <w:vAlign w:val="center"/>
          </w:tcPr>
          <w:p>
            <w:pPr>
              <w:spacing w:after="40"/>
              <w:jc w:val="center"/>
            </w:pPr>
            <w:r>
              <w:rPr>
                <w:b/>
                <w:bCs/>
                <w:color w:val="FFFFFF"/>
                <w:sz w:val="19"/>
                <w:szCs w:val="19"/>
              </w:rPr>
              <w:t xml:space="preserve">Tipo de prueba</w:t>
            </w:r>
          </w:p>
        </w:tc>
        <w:tc>
          <w:tcPr>
            <w:tcW w:type="dxa" w:w="6810"/>
            <w:shd w:fill="2E7D32" w:val="clear"/>
            <w:tcMar>
              <w:top w:type="dxa" w:w="80"/>
              <w:left w:type="dxa" w:w="100"/>
              <w:bottom w:type="dxa" w:w="80"/>
              <w:right w:type="dxa" w:w="100"/>
            </w:tcMar>
            <w:vAlign w:val="center"/>
          </w:tcPr>
          <w:p>
            <w:pPr>
              <w:spacing w:after="40"/>
              <w:jc w:val="center"/>
            </w:pPr>
            <w:r>
              <w:rPr>
                <w:b/>
                <w:bCs/>
                <w:color w:val="FFFFFF"/>
                <w:sz w:val="19"/>
                <w:szCs w:val="19"/>
              </w:rPr>
              <w:t xml:space="preserve">Justificación de negocio</w:t>
            </w:r>
          </w:p>
        </w:tc>
      </w:tr>
      <w:tr>
        <w:tc>
          <w:tcPr>
            <w:tcW w:type="dxa" w:w="2350"/>
            <w:tcMar>
              <w:top w:type="dxa" w:w="80"/>
              <w:left w:type="dxa" w:w="100"/>
              <w:bottom w:type="dxa" w:w="80"/>
              <w:right w:type="dxa" w:w="100"/>
            </w:tcMar>
            <w:vAlign w:val="center"/>
          </w:tcPr>
          <w:p>
            <w:pPr>
              <w:spacing w:after="40"/>
              <w:jc w:val="left"/>
            </w:pPr>
            <w:r>
              <w:rPr>
                <w:b w:val="false"/>
                <w:bCs w:val="false"/>
                <w:color w:val="1B1B1B"/>
                <w:sz w:val="19"/>
                <w:szCs w:val="19"/>
              </w:rPr>
              <w:t xml:space="preserve">Funcionales</w:t>
            </w:r>
          </w:p>
        </w:tc>
        <w:tc>
          <w:tcPr>
            <w:tcW w:type="dxa" w:w="6810"/>
            <w:tcMar>
              <w:top w:type="dxa" w:w="80"/>
              <w:left w:type="dxa" w:w="100"/>
              <w:bottom w:type="dxa" w:w="80"/>
              <w:right w:type="dxa" w:w="100"/>
            </w:tcMar>
            <w:vAlign w:val="center"/>
          </w:tcPr>
          <w:p>
            <w:pPr>
              <w:spacing w:after="40"/>
              <w:jc w:val="left"/>
            </w:pPr>
            <w:r>
              <w:rPr>
                <w:b w:val="false"/>
                <w:bCs w:val="false"/>
                <w:color w:val="1B1B1B"/>
                <w:sz w:val="19"/>
                <w:szCs w:val="19"/>
              </w:rPr>
              <w:t xml:space="preserve">EcoTrack mueve un activo con valor real para el usuario (EcoPuntos canjeables por cupones). Un error funcional —por ejemplo, otorgar puntos dos veces por el mismo QR— representa una pérdida económica directa para la empresa.</w:t>
            </w:r>
          </w:p>
        </w:tc>
      </w:tr>
      <w:tr>
        <w:tc>
          <w:tcPr>
            <w:tcW w:type="dxa" w:w="235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De API REST</w:t>
            </w:r>
          </w:p>
        </w:tc>
        <w:tc>
          <w:tcPr>
            <w:tcW w:type="dxa" w:w="681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Todo el sistema se comunica por HTTP entre frontend y backend (puertos 3000 y 3001). El backend expone contratos con class-validator (DTOs) que deben probarse independientemente de la interfaz, ya que la API también podría ser consumida por otros clientes (app móvil futura, integraciones).</w:t>
            </w:r>
          </w:p>
        </w:tc>
      </w:tr>
      <w:tr>
        <w:tc>
          <w:tcPr>
            <w:tcW w:type="dxa" w:w="2350"/>
            <w:tcMar>
              <w:top w:type="dxa" w:w="80"/>
              <w:left w:type="dxa" w:w="100"/>
              <w:bottom w:type="dxa" w:w="80"/>
              <w:right w:type="dxa" w:w="100"/>
            </w:tcMar>
            <w:vAlign w:val="center"/>
          </w:tcPr>
          <w:p>
            <w:pPr>
              <w:spacing w:after="40"/>
              <w:jc w:val="left"/>
            </w:pPr>
            <w:r>
              <w:rPr>
                <w:b w:val="false"/>
                <w:bCs w:val="false"/>
                <w:color w:val="1B1B1B"/>
                <w:sz w:val="19"/>
                <w:szCs w:val="19"/>
              </w:rPr>
              <w:t xml:space="preserve">De rendimiento</w:t>
            </w:r>
          </w:p>
        </w:tc>
        <w:tc>
          <w:tcPr>
            <w:tcW w:type="dxa" w:w="6810"/>
            <w:tcMar>
              <w:top w:type="dxa" w:w="80"/>
              <w:left w:type="dxa" w:w="100"/>
              <w:bottom w:type="dxa" w:w="80"/>
              <w:right w:type="dxa" w:w="100"/>
            </w:tcMar>
            <w:vAlign w:val="center"/>
          </w:tcPr>
          <w:p>
            <w:pPr>
              <w:spacing w:after="40"/>
              <w:jc w:val="left"/>
            </w:pPr>
            <w:r>
              <w:rPr>
                <w:b w:val="false"/>
                <w:bCs w:val="false"/>
                <w:color w:val="1B1B1B"/>
                <w:sz w:val="19"/>
                <w:szCs w:val="19"/>
              </w:rPr>
              <w:t xml:space="preserve">El endpoint de autenticación (auth/login) es el punto de entrada obligatorio para todo el resto del sistema; si no soporta concurrencia, ningún otro flujo (reciclar, validar, canjear) puede ejecutarse. Por eso se prioriza sobre otros endpoints para las pruebas de estrés.</w:t>
            </w:r>
          </w:p>
        </w:tc>
      </w:tr>
    </w:tbl>
    <w:p>
      <w:pPr>
        <w:spacing w:after="150"/>
      </w:pPr>
    </w:p>
    <w:p>
      <w:pPr>
        <w:pStyle w:val="Heading2"/>
        <w:spacing w:after="150" w:before="300"/>
      </w:pPr>
      <w:r>
        <w:rPr>
          <w:b/>
          <w:bCs/>
          <w:color w:val="1B1B1B"/>
          <w:sz w:val="26"/>
          <w:szCs w:val="26"/>
        </w:rPr>
        <w:t xml:space="preserve">Justificación de negocio de la estrategia</w:t>
      </w:r>
    </w:p>
    <w:p>
      <w:pPr>
        <w:spacing w:after="150" w:line="276"/>
      </w:pPr>
      <w:r>
        <w:rPr>
          <w:sz w:val="21"/>
          <w:szCs w:val="21"/>
        </w:rPr>
        <w:t xml:space="preserve">El testing estructurado en EcoTrack no es solo una buena práctica técnica: protege directamente el modelo de negocio. Los puntos débiles identificados en el propio código —transacciones con bloqueo pessimistic_write en wallet.service.ts y recycling-records.service.ts, validaciones de stock y expiración de cupones, y control de acceso por rol en cada guard— son exactamente los puntos donde un fallo se traduce en:</w:t>
      </w:r>
    </w:p>
    <w:p>
      <w:pPr>
        <w:pStyle w:val="ListParagraph"/>
        <w:numPr>
          <w:ilvl w:val="0"/>
          <w:numId w:val="2"/>
        </w:numPr>
        <w:spacing w:after="80" w:line="276"/>
      </w:pPr>
      <w:r>
        <w:rPr>
          <w:sz w:val="21"/>
          <w:szCs w:val="21"/>
        </w:rPr>
        <w:t xml:space="preserve">Fraude o duplicación de EcoPuntos (impacto financiero directo).</w:t>
      </w:r>
    </w:p>
    <w:p>
      <w:pPr>
        <w:pStyle w:val="ListParagraph"/>
        <w:numPr>
          <w:ilvl w:val="0"/>
          <w:numId w:val="2"/>
        </w:numPr>
        <w:spacing w:after="80" w:line="276"/>
      </w:pPr>
      <w:r>
        <w:rPr>
          <w:sz w:val="21"/>
          <w:szCs w:val="21"/>
        </w:rPr>
        <w:t xml:space="preserve">Canje de cupones sin stock o ya expirados (impacto en la relación con aliados comerciales).</w:t>
      </w:r>
    </w:p>
    <w:p>
      <w:pPr>
        <w:pStyle w:val="ListParagraph"/>
        <w:numPr>
          <w:ilvl w:val="0"/>
          <w:numId w:val="2"/>
        </w:numPr>
        <w:spacing w:after="80" w:line="276"/>
      </w:pPr>
      <w:r>
        <w:rPr>
          <w:sz w:val="21"/>
          <w:szCs w:val="21"/>
        </w:rPr>
        <w:t xml:space="preserve">Acceso no autorizado a funciones administrativas (impacto de seguridad y reputacional).</w:t>
      </w:r>
    </w:p>
    <w:p>
      <w:pPr>
        <w:spacing w:after="150" w:line="276"/>
      </w:pPr>
      <w:r>
        <w:rPr>
          <w:sz w:val="21"/>
          <w:szCs w:val="21"/>
        </w:rPr>
        <w:t xml:space="preserve">Por eso la estrategia prioriza pruebas de integración sobre estos tres servicios antes que pruebas exhaustivas de interfaz visual, que tienen menor riesgo de negocio.</w:t>
      </w:r>
    </w:p>
    <w:p>
      <w:r>
        <w:br w:type="page"/>
      </w:r>
    </w:p>
    <w:p>
      <w:pPr>
        <w:pStyle w:val="Heading1"/>
        <w:pBdr>
          <w:bottom w:val="single" w:color="2E7D32" w:sz="10" w:space="4"/>
        </w:pBdr>
        <w:spacing w:after="200" w:before="400"/>
      </w:pPr>
      <w:r>
        <w:rPr>
          <w:b/>
          <w:bCs/>
          <w:color w:val="2E7D32"/>
          <w:sz w:val="32"/>
          <w:szCs w:val="32"/>
        </w:rPr>
        <w:t xml:space="preserve">1.3  Diseño de la Matriz de Casos de Prueba</w:t>
      </w:r>
    </w:p>
    <w:p>
      <w:pPr>
        <w:spacing w:after="150" w:line="276"/>
      </w:pPr>
      <w:r>
        <w:rPr>
          <w:sz w:val="21"/>
          <w:szCs w:val="21"/>
        </w:rPr>
        <w:t xml:space="preserve">La matriz se divide en tres bloques, tal como pide la rúbrica: caja negra (formularios/API, sin mirar el código interno), caja blanca (lógica interna de los servicios) y casos basados en riesgo (escenarios críticos de negocio y seguridad). Los datos de entrada usados aquí provienen de las reglas de validación reales encontradas en los DTOs del backend (class-validator).</w:t>
      </w:r>
    </w:p>
    <w:p>
      <w:pPr>
        <w:pStyle w:val="Heading2"/>
        <w:spacing w:after="150" w:before="300"/>
      </w:pPr>
      <w:r>
        <w:rPr>
          <w:b/>
          <w:bCs/>
          <w:color w:val="1B1B1B"/>
          <w:sz w:val="26"/>
          <w:szCs w:val="26"/>
        </w:rPr>
        <w:t xml:space="preserve">Caja negra — Frontend / API</w:t>
      </w:r>
    </w:p>
    <w:p>
      <w:pPr>
        <w:spacing w:after="150" w:line="276"/>
      </w:pPr>
      <w:r>
        <w:rPr>
          <w:sz w:val="21"/>
          <w:szCs w:val="21"/>
        </w:rPr>
        <w:t xml:space="preserve">Casos centrados en la validación de formularios expuestos por auth (registro, login) y por el panel admin (creación de cupones), probando entradas válidas e inválidas contra el contrato de la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3150"/>
        <w:gridCol w:w="2760"/>
        <w:gridCol w:w="2800"/>
      </w:tblGrid>
      <w:tr>
        <w:trPr>
          <w:tblHeader/>
        </w:trPr>
        <w:tc>
          <w:tcPr>
            <w:tcW w:type="dxa" w:w="650"/>
            <w:shd w:fill="2E7D32" w:val="clear"/>
            <w:tcMar>
              <w:top w:type="dxa" w:w="80"/>
              <w:left w:type="dxa" w:w="100"/>
              <w:bottom w:type="dxa" w:w="80"/>
              <w:right w:type="dxa" w:w="100"/>
            </w:tcMar>
            <w:vAlign w:val="center"/>
          </w:tcPr>
          <w:p>
            <w:pPr>
              <w:spacing w:after="40"/>
              <w:jc w:val="center"/>
            </w:pPr>
            <w:r>
              <w:rPr>
                <w:b/>
                <w:bCs/>
                <w:color w:val="FFFFFF"/>
                <w:sz w:val="19"/>
                <w:szCs w:val="19"/>
              </w:rPr>
              <w:t xml:space="preserve">ID</w:t>
            </w:r>
          </w:p>
        </w:tc>
        <w:tc>
          <w:tcPr>
            <w:tcW w:type="dxa" w:w="3150"/>
            <w:shd w:fill="2E7D32" w:val="clear"/>
            <w:tcMar>
              <w:top w:type="dxa" w:w="80"/>
              <w:left w:type="dxa" w:w="100"/>
              <w:bottom w:type="dxa" w:w="80"/>
              <w:right w:type="dxa" w:w="100"/>
            </w:tcMar>
            <w:vAlign w:val="center"/>
          </w:tcPr>
          <w:p>
            <w:pPr>
              <w:spacing w:after="40"/>
              <w:jc w:val="center"/>
            </w:pPr>
            <w:r>
              <w:rPr>
                <w:b/>
                <w:bCs/>
                <w:color w:val="FFFFFF"/>
                <w:sz w:val="19"/>
                <w:szCs w:val="19"/>
              </w:rPr>
              <w:t xml:space="preserve">Escenario</w:t>
            </w:r>
          </w:p>
        </w:tc>
        <w:tc>
          <w:tcPr>
            <w:tcW w:type="dxa" w:w="2760"/>
            <w:shd w:fill="2E7D32" w:val="clear"/>
            <w:tcMar>
              <w:top w:type="dxa" w:w="80"/>
              <w:left w:type="dxa" w:w="100"/>
              <w:bottom w:type="dxa" w:w="80"/>
              <w:right w:type="dxa" w:w="100"/>
            </w:tcMar>
            <w:vAlign w:val="center"/>
          </w:tcPr>
          <w:p>
            <w:pPr>
              <w:spacing w:after="40"/>
              <w:jc w:val="center"/>
            </w:pPr>
            <w:r>
              <w:rPr>
                <w:b/>
                <w:bCs/>
                <w:color w:val="FFFFFF"/>
                <w:sz w:val="19"/>
                <w:szCs w:val="19"/>
              </w:rPr>
              <w:t xml:space="preserve">Entrada de prueba</w:t>
            </w:r>
          </w:p>
        </w:tc>
        <w:tc>
          <w:tcPr>
            <w:tcW w:type="dxa" w:w="2800"/>
            <w:shd w:fill="2E7D32" w:val="clear"/>
            <w:tcMar>
              <w:top w:type="dxa" w:w="80"/>
              <w:left w:type="dxa" w:w="100"/>
              <w:bottom w:type="dxa" w:w="80"/>
              <w:right w:type="dxa" w:w="100"/>
            </w:tcMar>
            <w:vAlign w:val="center"/>
          </w:tcPr>
          <w:p>
            <w:pPr>
              <w:spacing w:after="40"/>
              <w:jc w:val="center"/>
            </w:pPr>
            <w:r>
              <w:rPr>
                <w:b/>
                <w:bCs/>
                <w:color w:val="FFFFFF"/>
                <w:sz w:val="19"/>
                <w:szCs w:val="19"/>
              </w:rPr>
              <w:t xml:space="preserve">Resultado esperado</w:t>
            </w:r>
          </w:p>
        </w:tc>
      </w:tr>
      <w:tr>
        <w:tc>
          <w:tcPr>
            <w:tcW w:type="dxa" w:w="650"/>
            <w:tcMar>
              <w:top w:type="dxa" w:w="80"/>
              <w:left w:type="dxa" w:w="100"/>
              <w:bottom w:type="dxa" w:w="80"/>
              <w:right w:type="dxa" w:w="100"/>
            </w:tcMar>
            <w:vAlign w:val="center"/>
          </w:tcPr>
          <w:p>
            <w:pPr>
              <w:spacing w:after="40"/>
              <w:jc w:val="left"/>
            </w:pPr>
            <w:r>
              <w:rPr>
                <w:b w:val="false"/>
                <w:bCs w:val="false"/>
                <w:color w:val="1B1B1B"/>
                <w:sz w:val="19"/>
                <w:szCs w:val="19"/>
              </w:rPr>
              <w:t xml:space="preserve">CN-01</w:t>
            </w:r>
          </w:p>
        </w:tc>
        <w:tc>
          <w:tcPr>
            <w:tcW w:type="dxa" w:w="3150"/>
            <w:tcMar>
              <w:top w:type="dxa" w:w="80"/>
              <w:left w:type="dxa" w:w="100"/>
              <w:bottom w:type="dxa" w:w="80"/>
              <w:right w:type="dxa" w:w="100"/>
            </w:tcMar>
            <w:vAlign w:val="center"/>
          </w:tcPr>
          <w:p>
            <w:pPr>
              <w:spacing w:after="40"/>
              <w:jc w:val="left"/>
            </w:pPr>
            <w:r>
              <w:rPr>
                <w:b w:val="false"/>
                <w:bCs w:val="false"/>
                <w:color w:val="1B1B1B"/>
                <w:sz w:val="19"/>
                <w:szCs w:val="19"/>
              </w:rPr>
              <w:t xml:space="preserve">Registro de usuario con datos válidos</w:t>
            </w:r>
          </w:p>
        </w:tc>
        <w:tc>
          <w:tcPr>
            <w:tcW w:type="dxa" w:w="2760"/>
            <w:tcMar>
              <w:top w:type="dxa" w:w="80"/>
              <w:left w:type="dxa" w:w="100"/>
              <w:bottom w:type="dxa" w:w="80"/>
              <w:right w:type="dxa" w:w="100"/>
            </w:tcMar>
            <w:vAlign w:val="center"/>
          </w:tcPr>
          <w:p>
            <w:pPr>
              <w:spacing w:after="40"/>
              <w:jc w:val="left"/>
            </w:pPr>
            <w:r>
              <w:rPr>
                <w:b w:val="false"/>
                <w:bCs w:val="false"/>
                <w:color w:val="1B1B1B"/>
                <w:sz w:val="19"/>
                <w:szCs w:val="19"/>
              </w:rPr>
              <w:t xml:space="preserve">firstNames: "Ana", email: "ana@test.com", phone: "987654321", password: 8+ caracteres</w:t>
            </w:r>
          </w:p>
        </w:tc>
        <w:tc>
          <w:tcPr>
            <w:tcW w:type="dxa" w:w="2800"/>
            <w:tcMar>
              <w:top w:type="dxa" w:w="80"/>
              <w:left w:type="dxa" w:w="100"/>
              <w:bottom w:type="dxa" w:w="80"/>
              <w:right w:type="dxa" w:w="100"/>
            </w:tcMar>
            <w:vAlign w:val="center"/>
          </w:tcPr>
          <w:p>
            <w:pPr>
              <w:spacing w:after="40"/>
              <w:jc w:val="left"/>
            </w:pPr>
            <w:r>
              <w:rPr>
                <w:b w:val="false"/>
                <w:bCs w:val="false"/>
                <w:color w:val="1B1B1B"/>
                <w:sz w:val="19"/>
                <w:szCs w:val="19"/>
              </w:rPr>
              <w:t xml:space="preserve">201 Created. Devuelve accessToken y objeto wallet inicial (rol Cliente).</w:t>
            </w:r>
          </w:p>
        </w:tc>
      </w:tr>
      <w:tr>
        <w:tc>
          <w:tcPr>
            <w:tcW w:type="dxa" w:w="65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CN-02</w:t>
            </w:r>
          </w:p>
        </w:tc>
        <w:tc>
          <w:tcPr>
            <w:tcW w:type="dxa" w:w="315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Registro con correo ya existente</w:t>
            </w:r>
          </w:p>
        </w:tc>
        <w:tc>
          <w:tcPr>
            <w:tcW w:type="dxa" w:w="276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email repetido de un usuario ya creado</w:t>
            </w:r>
          </w:p>
        </w:tc>
        <w:tc>
          <w:tcPr>
            <w:tcW w:type="dxa" w:w="280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409 Conflict — "Ya existe un usuario con ese correo"</w:t>
            </w:r>
          </w:p>
        </w:tc>
      </w:tr>
      <w:tr>
        <w:tc>
          <w:tcPr>
            <w:tcW w:type="dxa" w:w="650"/>
            <w:tcMar>
              <w:top w:type="dxa" w:w="80"/>
              <w:left w:type="dxa" w:w="100"/>
              <w:bottom w:type="dxa" w:w="80"/>
              <w:right w:type="dxa" w:w="100"/>
            </w:tcMar>
            <w:vAlign w:val="center"/>
          </w:tcPr>
          <w:p>
            <w:pPr>
              <w:spacing w:after="40"/>
              <w:jc w:val="left"/>
            </w:pPr>
            <w:r>
              <w:rPr>
                <w:b w:val="false"/>
                <w:bCs w:val="false"/>
                <w:color w:val="1B1B1B"/>
                <w:sz w:val="19"/>
                <w:szCs w:val="19"/>
              </w:rPr>
              <w:t xml:space="preserve">CN-03</w:t>
            </w:r>
          </w:p>
        </w:tc>
        <w:tc>
          <w:tcPr>
            <w:tcW w:type="dxa" w:w="3150"/>
            <w:tcMar>
              <w:top w:type="dxa" w:w="80"/>
              <w:left w:type="dxa" w:w="100"/>
              <w:bottom w:type="dxa" w:w="80"/>
              <w:right w:type="dxa" w:w="100"/>
            </w:tcMar>
            <w:vAlign w:val="center"/>
          </w:tcPr>
          <w:p>
            <w:pPr>
              <w:spacing w:after="40"/>
              <w:jc w:val="left"/>
            </w:pPr>
            <w:r>
              <w:rPr>
                <w:b w:val="false"/>
                <w:bCs w:val="false"/>
                <w:color w:val="1B1B1B"/>
                <w:sz w:val="19"/>
                <w:szCs w:val="19"/>
              </w:rPr>
              <w:t xml:space="preserve">Registro con contraseña corta</w:t>
            </w:r>
          </w:p>
        </w:tc>
        <w:tc>
          <w:tcPr>
            <w:tcW w:type="dxa" w:w="2760"/>
            <w:tcMar>
              <w:top w:type="dxa" w:w="80"/>
              <w:left w:type="dxa" w:w="100"/>
              <w:bottom w:type="dxa" w:w="80"/>
              <w:right w:type="dxa" w:w="100"/>
            </w:tcMar>
            <w:vAlign w:val="center"/>
          </w:tcPr>
          <w:p>
            <w:pPr>
              <w:spacing w:after="40"/>
              <w:jc w:val="left"/>
            </w:pPr>
            <w:r>
              <w:rPr>
                <w:b w:val="false"/>
                <w:bCs w:val="false"/>
                <w:color w:val="1B1B1B"/>
                <w:sz w:val="19"/>
                <w:szCs w:val="19"/>
              </w:rPr>
              <w:t xml:space="preserve">password: "1234567" (7 caracteres)</w:t>
            </w:r>
          </w:p>
        </w:tc>
        <w:tc>
          <w:tcPr>
            <w:tcW w:type="dxa" w:w="2800"/>
            <w:tcMar>
              <w:top w:type="dxa" w:w="80"/>
              <w:left w:type="dxa" w:w="100"/>
              <w:bottom w:type="dxa" w:w="80"/>
              <w:right w:type="dxa" w:w="100"/>
            </w:tcMar>
            <w:vAlign w:val="center"/>
          </w:tcPr>
          <w:p>
            <w:pPr>
              <w:spacing w:after="40"/>
              <w:jc w:val="left"/>
            </w:pPr>
            <w:r>
              <w:rPr>
                <w:b w:val="false"/>
                <w:bCs w:val="false"/>
                <w:color w:val="1B1B1B"/>
                <w:sz w:val="19"/>
                <w:szCs w:val="19"/>
              </w:rPr>
              <w:t xml:space="preserve">400 Bad Request — falla MinLength(8)</w:t>
            </w:r>
          </w:p>
        </w:tc>
      </w:tr>
      <w:tr>
        <w:tc>
          <w:tcPr>
            <w:tcW w:type="dxa" w:w="65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CN-04</w:t>
            </w:r>
          </w:p>
        </w:tc>
        <w:tc>
          <w:tcPr>
            <w:tcW w:type="dxa" w:w="315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Registro con teléfono inválido</w:t>
            </w:r>
          </w:p>
        </w:tc>
        <w:tc>
          <w:tcPr>
            <w:tcW w:type="dxa" w:w="276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phone: "abc-telefono"</w:t>
            </w:r>
          </w:p>
        </w:tc>
        <w:tc>
          <w:tcPr>
            <w:tcW w:type="dxa" w:w="280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400 Bad Request — falla el patrón @Matches(^[0-9+\-\s()]+$)</w:t>
            </w:r>
          </w:p>
        </w:tc>
      </w:tr>
      <w:tr>
        <w:tc>
          <w:tcPr>
            <w:tcW w:type="dxa" w:w="650"/>
            <w:tcMar>
              <w:top w:type="dxa" w:w="80"/>
              <w:left w:type="dxa" w:w="100"/>
              <w:bottom w:type="dxa" w:w="80"/>
              <w:right w:type="dxa" w:w="100"/>
            </w:tcMar>
            <w:vAlign w:val="center"/>
          </w:tcPr>
          <w:p>
            <w:pPr>
              <w:spacing w:after="40"/>
              <w:jc w:val="left"/>
            </w:pPr>
            <w:r>
              <w:rPr>
                <w:b w:val="false"/>
                <w:bCs w:val="false"/>
                <w:color w:val="1B1B1B"/>
                <w:sz w:val="19"/>
                <w:szCs w:val="19"/>
              </w:rPr>
              <w:t xml:space="preserve">CN-05</w:t>
            </w:r>
          </w:p>
        </w:tc>
        <w:tc>
          <w:tcPr>
            <w:tcW w:type="dxa" w:w="3150"/>
            <w:tcMar>
              <w:top w:type="dxa" w:w="80"/>
              <w:left w:type="dxa" w:w="100"/>
              <w:bottom w:type="dxa" w:w="80"/>
              <w:right w:type="dxa" w:w="100"/>
            </w:tcMar>
            <w:vAlign w:val="center"/>
          </w:tcPr>
          <w:p>
            <w:pPr>
              <w:spacing w:after="40"/>
              <w:jc w:val="left"/>
            </w:pPr>
            <w:r>
              <w:rPr>
                <w:b w:val="false"/>
                <w:bCs w:val="false"/>
                <w:color w:val="1B1B1B"/>
                <w:sz w:val="19"/>
                <w:szCs w:val="19"/>
              </w:rPr>
              <w:t xml:space="preserve">Login con credenciales correctas</w:t>
            </w:r>
          </w:p>
        </w:tc>
        <w:tc>
          <w:tcPr>
            <w:tcW w:type="dxa" w:w="2760"/>
            <w:tcMar>
              <w:top w:type="dxa" w:w="80"/>
              <w:left w:type="dxa" w:w="100"/>
              <w:bottom w:type="dxa" w:w="80"/>
              <w:right w:type="dxa" w:w="100"/>
            </w:tcMar>
            <w:vAlign w:val="center"/>
          </w:tcPr>
          <w:p>
            <w:pPr>
              <w:spacing w:after="40"/>
              <w:jc w:val="left"/>
            </w:pPr>
            <w:r>
              <w:rPr>
                <w:b w:val="false"/>
                <w:bCs w:val="false"/>
                <w:color w:val="1B1B1B"/>
                <w:sz w:val="19"/>
                <w:szCs w:val="19"/>
              </w:rPr>
              <w:t xml:space="preserve">email y password de un usuario existente</w:t>
            </w:r>
          </w:p>
        </w:tc>
        <w:tc>
          <w:tcPr>
            <w:tcW w:type="dxa" w:w="2800"/>
            <w:tcMar>
              <w:top w:type="dxa" w:w="80"/>
              <w:left w:type="dxa" w:w="100"/>
              <w:bottom w:type="dxa" w:w="80"/>
              <w:right w:type="dxa" w:w="100"/>
            </w:tcMar>
            <w:vAlign w:val="center"/>
          </w:tcPr>
          <w:p>
            <w:pPr>
              <w:spacing w:after="40"/>
              <w:jc w:val="left"/>
            </w:pPr>
            <w:r>
              <w:rPr>
                <w:b w:val="false"/>
                <w:bCs w:val="false"/>
                <w:color w:val="1B1B1B"/>
                <w:sz w:val="19"/>
                <w:szCs w:val="19"/>
              </w:rPr>
              <w:t xml:space="preserve">200 OK — accessToken + datos de wallet</w:t>
            </w:r>
          </w:p>
        </w:tc>
      </w:tr>
      <w:tr>
        <w:tc>
          <w:tcPr>
            <w:tcW w:type="dxa" w:w="65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CN-06</w:t>
            </w:r>
          </w:p>
        </w:tc>
        <w:tc>
          <w:tcPr>
            <w:tcW w:type="dxa" w:w="315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Login con contraseña incorrecta</w:t>
            </w:r>
          </w:p>
        </w:tc>
        <w:tc>
          <w:tcPr>
            <w:tcW w:type="dxa" w:w="276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email válido, password erróneo</w:t>
            </w:r>
          </w:p>
        </w:tc>
        <w:tc>
          <w:tcPr>
            <w:tcW w:type="dxa" w:w="280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401 Unauthorized — "Correo o contraseña inválidos" (mismo mensaje que usuario inexistente, por seguridad)</w:t>
            </w:r>
          </w:p>
        </w:tc>
      </w:tr>
      <w:tr>
        <w:tc>
          <w:tcPr>
            <w:tcW w:type="dxa" w:w="650"/>
            <w:tcMar>
              <w:top w:type="dxa" w:w="80"/>
              <w:left w:type="dxa" w:w="100"/>
              <w:bottom w:type="dxa" w:w="80"/>
              <w:right w:type="dxa" w:w="100"/>
            </w:tcMar>
            <w:vAlign w:val="center"/>
          </w:tcPr>
          <w:p>
            <w:pPr>
              <w:spacing w:after="40"/>
              <w:jc w:val="left"/>
            </w:pPr>
            <w:r>
              <w:rPr>
                <w:b w:val="false"/>
                <w:bCs w:val="false"/>
                <w:color w:val="1B1B1B"/>
                <w:sz w:val="19"/>
                <w:szCs w:val="19"/>
              </w:rPr>
              <w:t xml:space="preserve">CN-07</w:t>
            </w:r>
          </w:p>
        </w:tc>
        <w:tc>
          <w:tcPr>
            <w:tcW w:type="dxa" w:w="3150"/>
            <w:tcMar>
              <w:top w:type="dxa" w:w="80"/>
              <w:left w:type="dxa" w:w="100"/>
              <w:bottom w:type="dxa" w:w="80"/>
              <w:right w:type="dxa" w:w="100"/>
            </w:tcMar>
            <w:vAlign w:val="center"/>
          </w:tcPr>
          <w:p>
            <w:pPr>
              <w:spacing w:after="40"/>
              <w:jc w:val="left"/>
            </w:pPr>
            <w:r>
              <w:rPr>
                <w:b w:val="false"/>
                <w:bCs w:val="false"/>
                <w:color w:val="1B1B1B"/>
                <w:sz w:val="19"/>
                <w:szCs w:val="19"/>
              </w:rPr>
              <w:t xml:space="preserve">Creación de cupón con puntos en 0</w:t>
            </w:r>
          </w:p>
        </w:tc>
        <w:tc>
          <w:tcPr>
            <w:tcW w:type="dxa" w:w="2760"/>
            <w:tcMar>
              <w:top w:type="dxa" w:w="80"/>
              <w:left w:type="dxa" w:w="100"/>
              <w:bottom w:type="dxa" w:w="80"/>
              <w:right w:type="dxa" w:w="100"/>
            </w:tcMar>
            <w:vAlign w:val="center"/>
          </w:tcPr>
          <w:p>
            <w:pPr>
              <w:spacing w:after="40"/>
              <w:jc w:val="left"/>
            </w:pPr>
            <w:r>
              <w:rPr>
                <w:b w:val="false"/>
                <w:bCs w:val="false"/>
                <w:color w:val="1B1B1B"/>
                <w:sz w:val="19"/>
                <w:szCs w:val="19"/>
              </w:rPr>
              <w:t xml:space="preserve">requiredPoints: 0 (rol Administrador)</w:t>
            </w:r>
          </w:p>
        </w:tc>
        <w:tc>
          <w:tcPr>
            <w:tcW w:type="dxa" w:w="2800"/>
            <w:tcMar>
              <w:top w:type="dxa" w:w="80"/>
              <w:left w:type="dxa" w:w="100"/>
              <w:bottom w:type="dxa" w:w="80"/>
              <w:right w:type="dxa" w:w="100"/>
            </w:tcMar>
            <w:vAlign w:val="center"/>
          </w:tcPr>
          <w:p>
            <w:pPr>
              <w:spacing w:after="40"/>
              <w:jc w:val="left"/>
            </w:pPr>
            <w:r>
              <w:rPr>
                <w:b w:val="false"/>
                <w:bCs w:val="false"/>
                <w:color w:val="1B1B1B"/>
                <w:sz w:val="19"/>
                <w:szCs w:val="19"/>
              </w:rPr>
              <w:t xml:space="preserve">400 Bad Request — falla @Min(1)</w:t>
            </w:r>
          </w:p>
        </w:tc>
      </w:tr>
      <w:tr>
        <w:tc>
          <w:tcPr>
            <w:tcW w:type="dxa" w:w="65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CN-08</w:t>
            </w:r>
          </w:p>
        </w:tc>
        <w:tc>
          <w:tcPr>
            <w:tcW w:type="dxa" w:w="315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Creación de cupón sin título</w:t>
            </w:r>
          </w:p>
        </w:tc>
        <w:tc>
          <w:tcPr>
            <w:tcW w:type="dxa" w:w="276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title: "" u omitido</w:t>
            </w:r>
          </w:p>
        </w:tc>
        <w:tc>
          <w:tcPr>
            <w:tcW w:type="dxa" w:w="280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400 Bad Request — falla @IsString/@MaxLength</w:t>
            </w:r>
          </w:p>
        </w:tc>
      </w:tr>
      <w:tr>
        <w:tc>
          <w:tcPr>
            <w:tcW w:type="dxa" w:w="650"/>
            <w:tcMar>
              <w:top w:type="dxa" w:w="80"/>
              <w:left w:type="dxa" w:w="100"/>
              <w:bottom w:type="dxa" w:w="80"/>
              <w:right w:type="dxa" w:w="100"/>
            </w:tcMar>
            <w:vAlign w:val="center"/>
          </w:tcPr>
          <w:p>
            <w:pPr>
              <w:spacing w:after="40"/>
              <w:jc w:val="left"/>
            </w:pPr>
            <w:r>
              <w:rPr>
                <w:b w:val="false"/>
                <w:bCs w:val="false"/>
                <w:color w:val="1B1B1B"/>
                <w:sz w:val="19"/>
                <w:szCs w:val="19"/>
              </w:rPr>
              <w:t xml:space="preserve">CN-09</w:t>
            </w:r>
          </w:p>
        </w:tc>
        <w:tc>
          <w:tcPr>
            <w:tcW w:type="dxa" w:w="3150"/>
            <w:tcMar>
              <w:top w:type="dxa" w:w="80"/>
              <w:left w:type="dxa" w:w="100"/>
              <w:bottom w:type="dxa" w:w="80"/>
              <w:right w:type="dxa" w:w="100"/>
            </w:tcMar>
            <w:vAlign w:val="center"/>
          </w:tcPr>
          <w:p>
            <w:pPr>
              <w:spacing w:after="40"/>
              <w:jc w:val="left"/>
            </w:pPr>
            <w:r>
              <w:rPr>
                <w:b w:val="false"/>
                <w:bCs w:val="false"/>
                <w:color w:val="1B1B1B"/>
                <w:sz w:val="19"/>
                <w:szCs w:val="19"/>
              </w:rPr>
              <w:t xml:space="preserve">Creación de cupón sin permisos</w:t>
            </w:r>
          </w:p>
        </w:tc>
        <w:tc>
          <w:tcPr>
            <w:tcW w:type="dxa" w:w="2760"/>
            <w:tcMar>
              <w:top w:type="dxa" w:w="80"/>
              <w:left w:type="dxa" w:w="100"/>
              <w:bottom w:type="dxa" w:w="80"/>
              <w:right w:type="dxa" w:w="100"/>
            </w:tcMar>
            <w:vAlign w:val="center"/>
          </w:tcPr>
          <w:p>
            <w:pPr>
              <w:spacing w:after="40"/>
              <w:jc w:val="left"/>
            </w:pPr>
            <w:r>
              <w:rPr>
                <w:b w:val="false"/>
                <w:bCs w:val="false"/>
                <w:color w:val="1B1B1B"/>
                <w:sz w:val="19"/>
                <w:szCs w:val="19"/>
              </w:rPr>
              <w:t xml:space="preserve">Usuario con rol Cliente intenta POST /coupons</w:t>
            </w:r>
          </w:p>
        </w:tc>
        <w:tc>
          <w:tcPr>
            <w:tcW w:type="dxa" w:w="2800"/>
            <w:tcMar>
              <w:top w:type="dxa" w:w="80"/>
              <w:left w:type="dxa" w:w="100"/>
              <w:bottom w:type="dxa" w:w="80"/>
              <w:right w:type="dxa" w:w="100"/>
            </w:tcMar>
            <w:vAlign w:val="center"/>
          </w:tcPr>
          <w:p>
            <w:pPr>
              <w:spacing w:after="40"/>
              <w:jc w:val="left"/>
            </w:pPr>
            <w:r>
              <w:rPr>
                <w:b w:val="false"/>
                <w:bCs w:val="false"/>
                <w:color w:val="1B1B1B"/>
                <w:sz w:val="19"/>
                <w:szCs w:val="19"/>
              </w:rPr>
              <w:t xml:space="preserve">403 Forbidden (AdminGuard)</w:t>
            </w:r>
          </w:p>
        </w:tc>
      </w:tr>
    </w:tbl>
    <w:p>
      <w:pPr>
        <w:spacing w:after="150"/>
      </w:pPr>
    </w:p>
    <w:p>
      <w:pPr>
        <w:pStyle w:val="Heading2"/>
        <w:spacing w:after="150" w:before="300"/>
      </w:pPr>
      <w:r>
        <w:rPr>
          <w:b/>
          <w:bCs/>
          <w:color w:val="1B1B1B"/>
          <w:sz w:val="26"/>
          <w:szCs w:val="26"/>
        </w:rPr>
        <w:t xml:space="preserve">Caja blanca — Backend (lógica interna)</w:t>
      </w:r>
    </w:p>
    <w:p>
      <w:pPr>
        <w:spacing w:after="150" w:line="276"/>
      </w:pPr>
      <w:r>
        <w:rPr>
          <w:sz w:val="21"/>
          <w:szCs w:val="21"/>
        </w:rPr>
        <w:t xml:space="preserve">Casos enfocados en la lógica de negocio que vive dentro de los servicios, en particular wallet.service.ts (canje de cupones) y recycling-records.service.ts (creación y validación de reciclajes), incluyendo las transacciones con bloqueo pessimistic_write.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2900"/>
        <w:gridCol w:w="3060"/>
        <w:gridCol w:w="2750"/>
      </w:tblGrid>
      <w:tr>
        <w:trPr>
          <w:tblHeader/>
        </w:trPr>
        <w:tc>
          <w:tcPr>
            <w:tcW w:type="dxa" w:w="650"/>
            <w:shd w:fill="2E7D32" w:val="clear"/>
            <w:tcMar>
              <w:top w:type="dxa" w:w="80"/>
              <w:left w:type="dxa" w:w="100"/>
              <w:bottom w:type="dxa" w:w="80"/>
              <w:right w:type="dxa" w:w="100"/>
            </w:tcMar>
            <w:vAlign w:val="center"/>
          </w:tcPr>
          <w:p>
            <w:pPr>
              <w:spacing w:after="40"/>
              <w:jc w:val="center"/>
            </w:pPr>
            <w:r>
              <w:rPr>
                <w:b/>
                <w:bCs/>
                <w:color w:val="FFFFFF"/>
                <w:sz w:val="19"/>
                <w:szCs w:val="19"/>
              </w:rPr>
              <w:t xml:space="preserve">ID</w:t>
            </w:r>
          </w:p>
        </w:tc>
        <w:tc>
          <w:tcPr>
            <w:tcW w:type="dxa" w:w="2900"/>
            <w:shd w:fill="2E7D32" w:val="clear"/>
            <w:tcMar>
              <w:top w:type="dxa" w:w="80"/>
              <w:left w:type="dxa" w:w="100"/>
              <w:bottom w:type="dxa" w:w="80"/>
              <w:right w:type="dxa" w:w="100"/>
            </w:tcMar>
            <w:vAlign w:val="center"/>
          </w:tcPr>
          <w:p>
            <w:pPr>
              <w:spacing w:after="40"/>
              <w:jc w:val="center"/>
            </w:pPr>
            <w:r>
              <w:rPr>
                <w:b/>
                <w:bCs/>
                <w:color w:val="FFFFFF"/>
                <w:sz w:val="19"/>
                <w:szCs w:val="19"/>
              </w:rPr>
              <w:t xml:space="preserve">Función / método</w:t>
            </w:r>
          </w:p>
        </w:tc>
        <w:tc>
          <w:tcPr>
            <w:tcW w:type="dxa" w:w="3060"/>
            <w:shd w:fill="2E7D32" w:val="clear"/>
            <w:tcMar>
              <w:top w:type="dxa" w:w="80"/>
              <w:left w:type="dxa" w:w="100"/>
              <w:bottom w:type="dxa" w:w="80"/>
              <w:right w:type="dxa" w:w="100"/>
            </w:tcMar>
            <w:vAlign w:val="center"/>
          </w:tcPr>
          <w:p>
            <w:pPr>
              <w:spacing w:after="40"/>
              <w:jc w:val="center"/>
            </w:pPr>
            <w:r>
              <w:rPr>
                <w:b/>
                <w:bCs/>
                <w:color w:val="FFFFFF"/>
                <w:sz w:val="19"/>
                <w:szCs w:val="19"/>
              </w:rPr>
              <w:t xml:space="preserve">Escenario interno</w:t>
            </w:r>
          </w:p>
        </w:tc>
        <w:tc>
          <w:tcPr>
            <w:tcW w:type="dxa" w:w="2750"/>
            <w:shd w:fill="2E7D32" w:val="clear"/>
            <w:tcMar>
              <w:top w:type="dxa" w:w="80"/>
              <w:left w:type="dxa" w:w="100"/>
              <w:bottom w:type="dxa" w:w="80"/>
              <w:right w:type="dxa" w:w="100"/>
            </w:tcMar>
            <w:vAlign w:val="center"/>
          </w:tcPr>
          <w:p>
            <w:pPr>
              <w:spacing w:after="40"/>
              <w:jc w:val="center"/>
            </w:pPr>
            <w:r>
              <w:rPr>
                <w:b/>
                <w:bCs/>
                <w:color w:val="FFFFFF"/>
                <w:sz w:val="19"/>
                <w:szCs w:val="19"/>
              </w:rPr>
              <w:t xml:space="preserve">Resultado esperado</w:t>
            </w:r>
          </w:p>
        </w:tc>
      </w:tr>
      <w:tr>
        <w:tc>
          <w:tcPr>
            <w:tcW w:type="dxa" w:w="650"/>
            <w:tcMar>
              <w:top w:type="dxa" w:w="80"/>
              <w:left w:type="dxa" w:w="100"/>
              <w:bottom w:type="dxa" w:w="80"/>
              <w:right w:type="dxa" w:w="100"/>
            </w:tcMar>
            <w:vAlign w:val="center"/>
          </w:tcPr>
          <w:p>
            <w:pPr>
              <w:spacing w:after="40"/>
              <w:jc w:val="left"/>
            </w:pPr>
            <w:r>
              <w:rPr>
                <w:b w:val="false"/>
                <w:bCs w:val="false"/>
                <w:color w:val="1B1B1B"/>
                <w:sz w:val="19"/>
                <w:szCs w:val="19"/>
              </w:rPr>
              <w:t xml:space="preserve">CB-01</w:t>
            </w:r>
          </w:p>
        </w:tc>
        <w:tc>
          <w:tcPr>
            <w:tcW w:type="dxa" w:w="2900"/>
            <w:tcMar>
              <w:top w:type="dxa" w:w="80"/>
              <w:left w:type="dxa" w:w="100"/>
              <w:bottom w:type="dxa" w:w="80"/>
              <w:right w:type="dxa" w:w="100"/>
            </w:tcMar>
            <w:vAlign w:val="center"/>
          </w:tcPr>
          <w:p>
            <w:pPr>
              <w:spacing w:after="40"/>
              <w:jc w:val="left"/>
            </w:pPr>
            <w:r>
              <w:rPr>
                <w:b w:val="false"/>
                <w:bCs w:val="false"/>
                <w:color w:val="1B1B1B"/>
                <w:sz w:val="19"/>
                <w:szCs w:val="19"/>
              </w:rPr>
              <w:t xml:space="preserve">WalletService.redeemCoupon()</w:t>
            </w:r>
          </w:p>
        </w:tc>
        <w:tc>
          <w:tcPr>
            <w:tcW w:type="dxa" w:w="3060"/>
            <w:tcMar>
              <w:top w:type="dxa" w:w="80"/>
              <w:left w:type="dxa" w:w="100"/>
              <w:bottom w:type="dxa" w:w="80"/>
              <w:right w:type="dxa" w:w="100"/>
            </w:tcMar>
            <w:vAlign w:val="center"/>
          </w:tcPr>
          <w:p>
            <w:pPr>
              <w:spacing w:after="40"/>
              <w:jc w:val="left"/>
            </w:pPr>
            <w:r>
              <w:rPr>
                <w:b w:val="false"/>
                <w:bCs w:val="false"/>
                <w:color w:val="1B1B1B"/>
                <w:sz w:val="19"/>
                <w:szCs w:val="19"/>
              </w:rPr>
              <w:t xml:space="preserve">wallet.availablePoints &lt; coupon.requiredPoints</w:t>
            </w:r>
          </w:p>
        </w:tc>
        <w:tc>
          <w:tcPr>
            <w:tcW w:type="dxa" w:w="2750"/>
            <w:tcMar>
              <w:top w:type="dxa" w:w="80"/>
              <w:left w:type="dxa" w:w="100"/>
              <w:bottom w:type="dxa" w:w="80"/>
              <w:right w:type="dxa" w:w="100"/>
            </w:tcMar>
            <w:vAlign w:val="center"/>
          </w:tcPr>
          <w:p>
            <w:pPr>
              <w:spacing w:after="40"/>
              <w:jc w:val="left"/>
            </w:pPr>
            <w:r>
              <w:rPr>
                <w:b w:val="false"/>
                <w:bCs w:val="false"/>
                <w:color w:val="1B1B1B"/>
                <w:sz w:val="19"/>
                <w:szCs w:val="19"/>
              </w:rPr>
              <w:t xml:space="preserve">Lanza ConflictException("No tienes EcoPuntos suficientes para este canje"); no se modifica el stock ni el saldo</w:t>
            </w:r>
          </w:p>
        </w:tc>
      </w:tr>
      <w:tr>
        <w:tc>
          <w:tcPr>
            <w:tcW w:type="dxa" w:w="65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CB-02</w:t>
            </w:r>
          </w:p>
        </w:tc>
        <w:tc>
          <w:tcPr>
            <w:tcW w:type="dxa" w:w="290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WalletService.redeemCoupon()</w:t>
            </w:r>
          </w:p>
        </w:tc>
        <w:tc>
          <w:tcPr>
            <w:tcW w:type="dxa" w:w="306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coupon.stock &lt;= 0</w:t>
            </w:r>
          </w:p>
        </w:tc>
        <w:tc>
          <w:tcPr>
            <w:tcW w:type="dxa" w:w="275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Lanza ConflictException("El cupon no tiene stock disponible")</w:t>
            </w:r>
          </w:p>
        </w:tc>
      </w:tr>
      <w:tr>
        <w:tc>
          <w:tcPr>
            <w:tcW w:type="dxa" w:w="650"/>
            <w:tcMar>
              <w:top w:type="dxa" w:w="80"/>
              <w:left w:type="dxa" w:w="100"/>
              <w:bottom w:type="dxa" w:w="80"/>
              <w:right w:type="dxa" w:w="100"/>
            </w:tcMar>
            <w:vAlign w:val="center"/>
          </w:tcPr>
          <w:p>
            <w:pPr>
              <w:spacing w:after="40"/>
              <w:jc w:val="left"/>
            </w:pPr>
            <w:r>
              <w:rPr>
                <w:b w:val="false"/>
                <w:bCs w:val="false"/>
                <w:color w:val="1B1B1B"/>
                <w:sz w:val="19"/>
                <w:szCs w:val="19"/>
              </w:rPr>
              <w:t xml:space="preserve">CB-03</w:t>
            </w:r>
          </w:p>
        </w:tc>
        <w:tc>
          <w:tcPr>
            <w:tcW w:type="dxa" w:w="2900"/>
            <w:tcMar>
              <w:top w:type="dxa" w:w="80"/>
              <w:left w:type="dxa" w:w="100"/>
              <w:bottom w:type="dxa" w:w="80"/>
              <w:right w:type="dxa" w:w="100"/>
            </w:tcMar>
            <w:vAlign w:val="center"/>
          </w:tcPr>
          <w:p>
            <w:pPr>
              <w:spacing w:after="40"/>
              <w:jc w:val="left"/>
            </w:pPr>
            <w:r>
              <w:rPr>
                <w:b w:val="false"/>
                <w:bCs w:val="false"/>
                <w:color w:val="1B1B1B"/>
                <w:sz w:val="19"/>
                <w:szCs w:val="19"/>
              </w:rPr>
              <w:t xml:space="preserve">WalletService.isCouponExpired()</w:t>
            </w:r>
          </w:p>
        </w:tc>
        <w:tc>
          <w:tcPr>
            <w:tcW w:type="dxa" w:w="3060"/>
            <w:tcMar>
              <w:top w:type="dxa" w:w="80"/>
              <w:left w:type="dxa" w:w="100"/>
              <w:bottom w:type="dxa" w:w="80"/>
              <w:right w:type="dxa" w:w="100"/>
            </w:tcMar>
            <w:vAlign w:val="center"/>
          </w:tcPr>
          <w:p>
            <w:pPr>
              <w:spacing w:after="40"/>
              <w:jc w:val="left"/>
            </w:pPr>
            <w:r>
              <w:rPr>
                <w:b w:val="false"/>
                <w:bCs w:val="false"/>
                <w:color w:val="1B1B1B"/>
                <w:sz w:val="19"/>
                <w:szCs w:val="19"/>
              </w:rPr>
              <w:t xml:space="preserve">Fecha actual &gt; createdAt + validityDays</w:t>
            </w:r>
          </w:p>
        </w:tc>
        <w:tc>
          <w:tcPr>
            <w:tcW w:type="dxa" w:w="2750"/>
            <w:tcMar>
              <w:top w:type="dxa" w:w="80"/>
              <w:left w:type="dxa" w:w="100"/>
              <w:bottom w:type="dxa" w:w="80"/>
              <w:right w:type="dxa" w:w="100"/>
            </w:tcMar>
            <w:vAlign w:val="center"/>
          </w:tcPr>
          <w:p>
            <w:pPr>
              <w:spacing w:after="40"/>
              <w:jc w:val="left"/>
            </w:pPr>
            <w:r>
              <w:rPr>
                <w:b w:val="false"/>
                <w:bCs w:val="false"/>
                <w:color w:val="1B1B1B"/>
                <w:sz w:val="19"/>
                <w:szCs w:val="19"/>
              </w:rPr>
              <w:t xml:space="preserve">redeemCoupon() lanza ConflictException("El cupon ya expiro")</w:t>
            </w:r>
          </w:p>
        </w:tc>
      </w:tr>
      <w:tr>
        <w:tc>
          <w:tcPr>
            <w:tcW w:type="dxa" w:w="65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CB-04</w:t>
            </w:r>
          </w:p>
        </w:tc>
        <w:tc>
          <w:tcPr>
            <w:tcW w:type="dxa" w:w="290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WalletService.redeemCoupon()</w:t>
            </w:r>
          </w:p>
        </w:tc>
        <w:tc>
          <w:tcPr>
            <w:tcW w:type="dxa" w:w="306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Canje válido: saldo y stock suficientes</w:t>
            </w:r>
          </w:p>
        </w:tc>
        <w:tc>
          <w:tcPr>
            <w:tcW w:type="dxa" w:w="275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availablePoints y stock decrecen correctamente; se crea WalletMovement tipo CANJE con points negativo y un CouponRedemption con código único</w:t>
            </w:r>
          </w:p>
        </w:tc>
      </w:tr>
      <w:tr>
        <w:tc>
          <w:tcPr>
            <w:tcW w:type="dxa" w:w="650"/>
            <w:tcMar>
              <w:top w:type="dxa" w:w="80"/>
              <w:left w:type="dxa" w:w="100"/>
              <w:bottom w:type="dxa" w:w="80"/>
              <w:right w:type="dxa" w:w="100"/>
            </w:tcMar>
            <w:vAlign w:val="center"/>
          </w:tcPr>
          <w:p>
            <w:pPr>
              <w:spacing w:after="40"/>
              <w:jc w:val="left"/>
            </w:pPr>
            <w:r>
              <w:rPr>
                <w:b w:val="false"/>
                <w:bCs w:val="false"/>
                <w:color w:val="1B1B1B"/>
                <w:sz w:val="19"/>
                <w:szCs w:val="19"/>
              </w:rPr>
              <w:t xml:space="preserve">CB-05</w:t>
            </w:r>
          </w:p>
        </w:tc>
        <w:tc>
          <w:tcPr>
            <w:tcW w:type="dxa" w:w="2900"/>
            <w:tcMar>
              <w:top w:type="dxa" w:w="80"/>
              <w:left w:type="dxa" w:w="100"/>
              <w:bottom w:type="dxa" w:w="80"/>
              <w:right w:type="dxa" w:w="100"/>
            </w:tcMar>
            <w:vAlign w:val="center"/>
          </w:tcPr>
          <w:p>
            <w:pPr>
              <w:spacing w:after="40"/>
              <w:jc w:val="left"/>
            </w:pPr>
            <w:r>
              <w:rPr>
                <w:b w:val="false"/>
                <w:bCs w:val="false"/>
                <w:color w:val="1B1B1B"/>
                <w:sz w:val="19"/>
                <w:szCs w:val="19"/>
              </w:rPr>
              <w:t xml:space="preserve">RecyclingRecordsService.create()</w:t>
            </w:r>
          </w:p>
        </w:tc>
        <w:tc>
          <w:tcPr>
            <w:tcW w:type="dxa" w:w="3060"/>
            <w:tcMar>
              <w:top w:type="dxa" w:w="80"/>
              <w:left w:type="dxa" w:w="100"/>
              <w:bottom w:type="dxa" w:w="80"/>
              <w:right w:type="dxa" w:w="100"/>
            </w:tcMar>
            <w:vAlign w:val="center"/>
          </w:tcPr>
          <w:p>
            <w:pPr>
              <w:spacing w:after="40"/>
              <w:jc w:val="left"/>
            </w:pPr>
            <w:r>
              <w:rPr>
                <w:b w:val="false"/>
                <w:bCs w:val="false"/>
                <w:color w:val="1B1B1B"/>
                <w:sz w:val="19"/>
                <w:szCs w:val="19"/>
              </w:rPr>
              <w:t xml:space="preserve">qrCode ya existe en otro registro</w:t>
            </w:r>
          </w:p>
        </w:tc>
        <w:tc>
          <w:tcPr>
            <w:tcW w:type="dxa" w:w="2750"/>
            <w:tcMar>
              <w:top w:type="dxa" w:w="80"/>
              <w:left w:type="dxa" w:w="100"/>
              <w:bottom w:type="dxa" w:w="80"/>
              <w:right w:type="dxa" w:w="100"/>
            </w:tcMar>
            <w:vAlign w:val="center"/>
          </w:tcPr>
          <w:p>
            <w:pPr>
              <w:spacing w:after="40"/>
              <w:jc w:val="left"/>
            </w:pPr>
            <w:r>
              <w:rPr>
                <w:b w:val="false"/>
                <w:bCs w:val="false"/>
                <w:color w:val="1B1B1B"/>
                <w:sz w:val="19"/>
                <w:szCs w:val="19"/>
              </w:rPr>
              <w:t xml:space="preserve">Lanza ConflictException("El código QR ya fue registrado")</w:t>
            </w:r>
          </w:p>
        </w:tc>
      </w:tr>
      <w:tr>
        <w:tc>
          <w:tcPr>
            <w:tcW w:type="dxa" w:w="65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CB-06</w:t>
            </w:r>
          </w:p>
        </w:tc>
        <w:tc>
          <w:tcPr>
            <w:tcW w:type="dxa" w:w="290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RecyclingRecordsService.create()</w:t>
            </w:r>
          </w:p>
        </w:tc>
        <w:tc>
          <w:tcPr>
            <w:tcW w:type="dxa" w:w="306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material.pointsPerKg = 10, weightKg = 2.5</w:t>
            </w:r>
          </w:p>
        </w:tc>
        <w:tc>
          <w:tcPr>
            <w:tcW w:type="dxa" w:w="275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earnedPoints = Math.round(10 * 2.5) = 25; savedCo2 = co2PerKg * 2.5</w:t>
            </w:r>
          </w:p>
        </w:tc>
      </w:tr>
      <w:tr>
        <w:tc>
          <w:tcPr>
            <w:tcW w:type="dxa" w:w="650"/>
            <w:tcMar>
              <w:top w:type="dxa" w:w="80"/>
              <w:left w:type="dxa" w:w="100"/>
              <w:bottom w:type="dxa" w:w="80"/>
              <w:right w:type="dxa" w:w="100"/>
            </w:tcMar>
            <w:vAlign w:val="center"/>
          </w:tcPr>
          <w:p>
            <w:pPr>
              <w:spacing w:after="40"/>
              <w:jc w:val="left"/>
            </w:pPr>
            <w:r>
              <w:rPr>
                <w:b w:val="false"/>
                <w:bCs w:val="false"/>
                <w:color w:val="1B1B1B"/>
                <w:sz w:val="19"/>
                <w:szCs w:val="19"/>
              </w:rPr>
              <w:t xml:space="preserve">CB-07</w:t>
            </w:r>
          </w:p>
        </w:tc>
        <w:tc>
          <w:tcPr>
            <w:tcW w:type="dxa" w:w="2900"/>
            <w:tcMar>
              <w:top w:type="dxa" w:w="80"/>
              <w:left w:type="dxa" w:w="100"/>
              <w:bottom w:type="dxa" w:w="80"/>
              <w:right w:type="dxa" w:w="100"/>
            </w:tcMar>
            <w:vAlign w:val="center"/>
          </w:tcPr>
          <w:p>
            <w:pPr>
              <w:spacing w:after="40"/>
              <w:jc w:val="left"/>
            </w:pPr>
            <w:r>
              <w:rPr>
                <w:b w:val="false"/>
                <w:bCs w:val="false"/>
                <w:color w:val="1B1B1B"/>
                <w:sz w:val="19"/>
                <w:szCs w:val="19"/>
              </w:rPr>
              <w:t xml:space="preserve">RecyclingRecordsService.processValidation()</w:t>
            </w:r>
          </w:p>
        </w:tc>
        <w:tc>
          <w:tcPr>
            <w:tcW w:type="dxa" w:w="3060"/>
            <w:tcMar>
              <w:top w:type="dxa" w:w="80"/>
              <w:left w:type="dxa" w:w="100"/>
              <w:bottom w:type="dxa" w:w="80"/>
              <w:right w:type="dxa" w:w="100"/>
            </w:tcMar>
            <w:vAlign w:val="center"/>
          </w:tcPr>
          <w:p>
            <w:pPr>
              <w:spacing w:after="40"/>
              <w:jc w:val="left"/>
            </w:pPr>
            <w:r>
              <w:rPr>
                <w:b w:val="false"/>
                <w:bCs w:val="false"/>
                <w:color w:val="1B1B1B"/>
                <w:sz w:val="19"/>
                <w:szCs w:val="19"/>
              </w:rPr>
              <w:t xml:space="preserve">record.status !== PENDIENTE (ya fue validado o rechazado antes)</w:t>
            </w:r>
          </w:p>
        </w:tc>
        <w:tc>
          <w:tcPr>
            <w:tcW w:type="dxa" w:w="2750"/>
            <w:tcMar>
              <w:top w:type="dxa" w:w="80"/>
              <w:left w:type="dxa" w:w="100"/>
              <w:bottom w:type="dxa" w:w="80"/>
              <w:right w:type="dxa" w:w="100"/>
            </w:tcMar>
            <w:vAlign w:val="center"/>
          </w:tcPr>
          <w:p>
            <w:pPr>
              <w:spacing w:after="40"/>
              <w:jc w:val="left"/>
            </w:pPr>
            <w:r>
              <w:rPr>
                <w:b w:val="false"/>
                <w:bCs w:val="false"/>
                <w:color w:val="1B1B1B"/>
                <w:sz w:val="19"/>
                <w:szCs w:val="19"/>
              </w:rPr>
              <w:t xml:space="preserve">Lanza ConflictException("El registro ya fue procesado"); no se duplican puntos</w:t>
            </w:r>
          </w:p>
        </w:tc>
      </w:tr>
      <w:tr>
        <w:tc>
          <w:tcPr>
            <w:tcW w:type="dxa" w:w="65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CB-08</w:t>
            </w:r>
          </w:p>
        </w:tc>
        <w:tc>
          <w:tcPr>
            <w:tcW w:type="dxa" w:w="290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RecyclingRecordsService.processValidation()</w:t>
            </w:r>
          </w:p>
        </w:tc>
        <w:tc>
          <w:tcPr>
            <w:tcW w:type="dxa" w:w="306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validateDto.status = RECHAZADO</w:t>
            </w:r>
          </w:p>
        </w:tc>
        <w:tc>
          <w:tcPr>
            <w:tcW w:type="dxa" w:w="275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El registro cambia a Rechazado, pero NO se crea WalletMovement ni se suman puntos</w:t>
            </w:r>
          </w:p>
        </w:tc>
      </w:tr>
    </w:tbl>
    <w:p>
      <w:pPr>
        <w:spacing w:after="150"/>
      </w:pPr>
    </w:p>
    <w:p>
      <w:pPr>
        <w:pStyle w:val="Heading2"/>
        <w:spacing w:after="150" w:before="300"/>
      </w:pPr>
      <w:r>
        <w:rPr>
          <w:b/>
          <w:bCs/>
          <w:color w:val="1B1B1B"/>
          <w:sz w:val="26"/>
          <w:szCs w:val="26"/>
        </w:rPr>
        <w:t xml:space="preserve">Pruebas basadas en riesgo</w:t>
      </w:r>
    </w:p>
    <w:p>
      <w:pPr>
        <w:spacing w:after="150" w:line="276"/>
      </w:pPr>
      <w:r>
        <w:rPr>
          <w:sz w:val="21"/>
          <w:szCs w:val="21"/>
        </w:rPr>
        <w:t xml:space="preserve">Casos priorizados por su impacto potencial en el negocio (pérdida de EcoPuntos, acceso indebido a funciones administrativas) más que por su probabilidad de ocurrencia, siguiendo el enfoque de risk-based testing de ISO 29119.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
        <w:gridCol w:w="3250"/>
        <w:gridCol w:w="1550"/>
        <w:gridCol w:w="1150"/>
        <w:gridCol w:w="2760"/>
      </w:tblGrid>
      <w:tr>
        <w:trPr>
          <w:tblHeader/>
        </w:trPr>
        <w:tc>
          <w:tcPr>
            <w:tcW w:type="dxa" w:w="650"/>
            <w:shd w:fill="2E7D32" w:val="clear"/>
            <w:tcMar>
              <w:top w:type="dxa" w:w="80"/>
              <w:left w:type="dxa" w:w="100"/>
              <w:bottom w:type="dxa" w:w="80"/>
              <w:right w:type="dxa" w:w="100"/>
            </w:tcMar>
            <w:vAlign w:val="center"/>
          </w:tcPr>
          <w:p>
            <w:pPr>
              <w:spacing w:after="40"/>
              <w:jc w:val="center"/>
            </w:pPr>
            <w:r>
              <w:rPr>
                <w:b/>
                <w:bCs/>
                <w:color w:val="FFFFFF"/>
                <w:sz w:val="19"/>
                <w:szCs w:val="19"/>
              </w:rPr>
              <w:t xml:space="preserve">ID</w:t>
            </w:r>
          </w:p>
        </w:tc>
        <w:tc>
          <w:tcPr>
            <w:tcW w:type="dxa" w:w="3250"/>
            <w:shd w:fill="2E7D32" w:val="clear"/>
            <w:tcMar>
              <w:top w:type="dxa" w:w="80"/>
              <w:left w:type="dxa" w:w="100"/>
              <w:bottom w:type="dxa" w:w="80"/>
              <w:right w:type="dxa" w:w="100"/>
            </w:tcMar>
            <w:vAlign w:val="center"/>
          </w:tcPr>
          <w:p>
            <w:pPr>
              <w:spacing w:after="40"/>
              <w:jc w:val="center"/>
            </w:pPr>
            <w:r>
              <w:rPr>
                <w:b/>
                <w:bCs/>
                <w:color w:val="FFFFFF"/>
                <w:sz w:val="19"/>
                <w:szCs w:val="19"/>
              </w:rPr>
              <w:t xml:space="preserve">Riesgo / escenario</w:t>
            </w:r>
          </w:p>
        </w:tc>
        <w:tc>
          <w:tcPr>
            <w:tcW w:type="dxa" w:w="1550"/>
            <w:shd w:fill="2E7D32" w:val="clear"/>
            <w:tcMar>
              <w:top w:type="dxa" w:w="80"/>
              <w:left w:type="dxa" w:w="100"/>
              <w:bottom w:type="dxa" w:w="80"/>
              <w:right w:type="dxa" w:w="100"/>
            </w:tcMar>
            <w:vAlign w:val="center"/>
          </w:tcPr>
          <w:p>
            <w:pPr>
              <w:spacing w:after="40"/>
              <w:jc w:val="center"/>
            </w:pPr>
            <w:r>
              <w:rPr>
                <w:b/>
                <w:bCs/>
                <w:color w:val="FFFFFF"/>
                <w:sz w:val="19"/>
                <w:szCs w:val="19"/>
              </w:rPr>
              <w:t xml:space="preserve">Módulo</w:t>
            </w:r>
          </w:p>
        </w:tc>
        <w:tc>
          <w:tcPr>
            <w:tcW w:type="dxa" w:w="1150"/>
            <w:shd w:fill="2E7D32" w:val="clear"/>
            <w:tcMar>
              <w:top w:type="dxa" w:w="80"/>
              <w:left w:type="dxa" w:w="100"/>
              <w:bottom w:type="dxa" w:w="80"/>
              <w:right w:type="dxa" w:w="100"/>
            </w:tcMar>
            <w:vAlign w:val="center"/>
          </w:tcPr>
          <w:p>
            <w:pPr>
              <w:spacing w:after="40"/>
              <w:jc w:val="center"/>
            </w:pPr>
            <w:r>
              <w:rPr>
                <w:b/>
                <w:bCs/>
                <w:color w:val="FFFFFF"/>
                <w:sz w:val="19"/>
                <w:szCs w:val="19"/>
              </w:rPr>
              <w:t xml:space="preserve">Severidad</w:t>
            </w:r>
          </w:p>
        </w:tc>
        <w:tc>
          <w:tcPr>
            <w:tcW w:type="dxa" w:w="2760"/>
            <w:shd w:fill="2E7D32" w:val="clear"/>
            <w:tcMar>
              <w:top w:type="dxa" w:w="80"/>
              <w:left w:type="dxa" w:w="100"/>
              <w:bottom w:type="dxa" w:w="80"/>
              <w:right w:type="dxa" w:w="100"/>
            </w:tcMar>
            <w:vAlign w:val="center"/>
          </w:tcPr>
          <w:p>
            <w:pPr>
              <w:spacing w:after="40"/>
              <w:jc w:val="center"/>
            </w:pPr>
            <w:r>
              <w:rPr>
                <w:b/>
                <w:bCs/>
                <w:color w:val="FFFFFF"/>
                <w:sz w:val="19"/>
                <w:szCs w:val="19"/>
              </w:rPr>
              <w:t xml:space="preserve">Estrategia de prueba / mitigación</w:t>
            </w:r>
          </w:p>
        </w:tc>
      </w:tr>
      <w:tr>
        <w:tc>
          <w:tcPr>
            <w:tcW w:type="dxa" w:w="650"/>
            <w:tcMar>
              <w:top w:type="dxa" w:w="80"/>
              <w:left w:type="dxa" w:w="100"/>
              <w:bottom w:type="dxa" w:w="80"/>
              <w:right w:type="dxa" w:w="100"/>
            </w:tcMar>
            <w:vAlign w:val="center"/>
          </w:tcPr>
          <w:p>
            <w:pPr>
              <w:spacing w:after="40"/>
              <w:jc w:val="left"/>
            </w:pPr>
            <w:r>
              <w:rPr>
                <w:b w:val="false"/>
                <w:bCs w:val="false"/>
                <w:color w:val="1B1B1B"/>
                <w:sz w:val="19"/>
                <w:szCs w:val="19"/>
              </w:rPr>
              <w:t xml:space="preserve">R-01</w:t>
            </w:r>
          </w:p>
        </w:tc>
        <w:tc>
          <w:tcPr>
            <w:tcW w:type="dxa" w:w="3250"/>
            <w:tcMar>
              <w:top w:type="dxa" w:w="80"/>
              <w:left w:type="dxa" w:w="100"/>
              <w:bottom w:type="dxa" w:w="80"/>
              <w:right w:type="dxa" w:w="100"/>
            </w:tcMar>
            <w:vAlign w:val="center"/>
          </w:tcPr>
          <w:p>
            <w:pPr>
              <w:spacing w:after="40"/>
              <w:jc w:val="left"/>
            </w:pPr>
            <w:r>
              <w:rPr>
                <w:b w:val="false"/>
                <w:bCs w:val="false"/>
                <w:color w:val="1B1B1B"/>
                <w:sz w:val="19"/>
                <w:szCs w:val="19"/>
              </w:rPr>
              <w:t xml:space="preserve">Un usuario sin rol Administrador accede a cualquier ruta /admin/*</w:t>
            </w:r>
          </w:p>
        </w:tc>
        <w:tc>
          <w:tcPr>
            <w:tcW w:type="dxa" w:w="1550"/>
            <w:tcMar>
              <w:top w:type="dxa" w:w="80"/>
              <w:left w:type="dxa" w:w="100"/>
              <w:bottom w:type="dxa" w:w="80"/>
              <w:right w:type="dxa" w:w="100"/>
            </w:tcMar>
            <w:vAlign w:val="center"/>
          </w:tcPr>
          <w:p>
            <w:pPr>
              <w:spacing w:after="40"/>
              <w:jc w:val="left"/>
            </w:pPr>
            <w:r>
              <w:rPr>
                <w:b w:val="false"/>
                <w:bCs w:val="false"/>
                <w:color w:val="1B1B1B"/>
                <w:sz w:val="19"/>
                <w:szCs w:val="19"/>
              </w:rPr>
              <w:t xml:space="preserve">admin (AdminGuard)</w:t>
            </w:r>
          </w:p>
        </w:tc>
        <w:tc>
          <w:tcPr>
            <w:tcW w:type="dxa" w:w="1150"/>
            <w:tcMar>
              <w:top w:type="dxa" w:w="80"/>
              <w:left w:type="dxa" w:w="100"/>
              <w:bottom w:type="dxa" w:w="80"/>
              <w:right w:type="dxa" w:w="100"/>
            </w:tcMar>
            <w:vAlign w:val="center"/>
          </w:tcPr>
          <w:p>
            <w:pPr>
              <w:spacing w:after="40"/>
              <w:jc w:val="left"/>
            </w:pPr>
            <w:r>
              <w:rPr>
                <w:b w:val="false"/>
                <w:bCs w:val="false"/>
                <w:color w:val="1B1B1B"/>
                <w:sz w:val="19"/>
                <w:szCs w:val="19"/>
              </w:rPr>
              <w:t xml:space="preserve">Alta</w:t>
            </w:r>
          </w:p>
        </w:tc>
        <w:tc>
          <w:tcPr>
            <w:tcW w:type="dxa" w:w="2760"/>
            <w:tcMar>
              <w:top w:type="dxa" w:w="80"/>
              <w:left w:type="dxa" w:w="100"/>
              <w:bottom w:type="dxa" w:w="80"/>
              <w:right w:type="dxa" w:w="100"/>
            </w:tcMar>
            <w:vAlign w:val="center"/>
          </w:tcPr>
          <w:p>
            <w:pPr>
              <w:spacing w:after="40"/>
              <w:jc w:val="left"/>
            </w:pPr>
            <w:r>
              <w:rPr>
                <w:b w:val="false"/>
                <w:bCs w:val="false"/>
                <w:color w:val="1B1B1B"/>
                <w:sz w:val="19"/>
                <w:szCs w:val="19"/>
              </w:rPr>
              <w:t xml:space="preserve">Prueba de integración enviando JWT de rol Cliente y Validador contra cada endpoint admin; se espera 403 en todos los casos</w:t>
            </w:r>
          </w:p>
        </w:tc>
      </w:tr>
      <w:tr>
        <w:tc>
          <w:tcPr>
            <w:tcW w:type="dxa" w:w="65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R-02</w:t>
            </w:r>
          </w:p>
        </w:tc>
        <w:tc>
          <w:tcPr>
            <w:tcW w:type="dxa" w:w="325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Un Validador valida un reciclaje de un centro distinto al que tiene asignado</w:t>
            </w:r>
          </w:p>
        </w:tc>
        <w:tc>
          <w:tcPr>
            <w:tcW w:type="dxa" w:w="155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recycling-records</w:t>
            </w:r>
          </w:p>
        </w:tc>
        <w:tc>
          <w:tcPr>
            <w:tcW w:type="dxa" w:w="115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Alta</w:t>
            </w:r>
          </w:p>
        </w:tc>
        <w:tc>
          <w:tcPr>
            <w:tcW w:type="dxa" w:w="276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Caso de integración: crear un registro en el Centro A y validarlo con un Validador asignado al Centro B; se espera 403 ("No pertenece a tu centro de acopio")</w:t>
            </w:r>
          </w:p>
        </w:tc>
      </w:tr>
      <w:tr>
        <w:tc>
          <w:tcPr>
            <w:tcW w:type="dxa" w:w="650"/>
            <w:tcMar>
              <w:top w:type="dxa" w:w="80"/>
              <w:left w:type="dxa" w:w="100"/>
              <w:bottom w:type="dxa" w:w="80"/>
              <w:right w:type="dxa" w:w="100"/>
            </w:tcMar>
            <w:vAlign w:val="center"/>
          </w:tcPr>
          <w:p>
            <w:pPr>
              <w:spacing w:after="40"/>
              <w:jc w:val="left"/>
            </w:pPr>
            <w:r>
              <w:rPr>
                <w:b w:val="false"/>
                <w:bCs w:val="false"/>
                <w:color w:val="1B1B1B"/>
                <w:sz w:val="19"/>
                <w:szCs w:val="19"/>
              </w:rPr>
              <w:t xml:space="preserve">R-03</w:t>
            </w:r>
          </w:p>
        </w:tc>
        <w:tc>
          <w:tcPr>
            <w:tcW w:type="dxa" w:w="3250"/>
            <w:tcMar>
              <w:top w:type="dxa" w:w="80"/>
              <w:left w:type="dxa" w:w="100"/>
              <w:bottom w:type="dxa" w:w="80"/>
              <w:right w:type="dxa" w:w="100"/>
            </w:tcMar>
            <w:vAlign w:val="center"/>
          </w:tcPr>
          <w:p>
            <w:pPr>
              <w:spacing w:after="40"/>
              <w:jc w:val="left"/>
            </w:pPr>
            <w:r>
              <w:rPr>
                <w:b w:val="false"/>
                <w:bCs w:val="false"/>
                <w:color w:val="1B1B1B"/>
                <w:sz w:val="19"/>
                <w:szCs w:val="19"/>
              </w:rPr>
              <w:t xml:space="preserve">Condición de carrera: dos canjes simultáneos del último cupón en stock (stock = 1)</w:t>
            </w:r>
          </w:p>
        </w:tc>
        <w:tc>
          <w:tcPr>
            <w:tcW w:type="dxa" w:w="1550"/>
            <w:tcMar>
              <w:top w:type="dxa" w:w="80"/>
              <w:left w:type="dxa" w:w="100"/>
              <w:bottom w:type="dxa" w:w="80"/>
              <w:right w:type="dxa" w:w="100"/>
            </w:tcMar>
            <w:vAlign w:val="center"/>
          </w:tcPr>
          <w:p>
            <w:pPr>
              <w:spacing w:after="40"/>
              <w:jc w:val="left"/>
            </w:pPr>
            <w:r>
              <w:rPr>
                <w:b w:val="false"/>
                <w:bCs w:val="false"/>
                <w:color w:val="1B1B1B"/>
                <w:sz w:val="19"/>
                <w:szCs w:val="19"/>
              </w:rPr>
              <w:t xml:space="preserve">wallet</w:t>
            </w:r>
          </w:p>
        </w:tc>
        <w:tc>
          <w:tcPr>
            <w:tcW w:type="dxa" w:w="1150"/>
            <w:tcMar>
              <w:top w:type="dxa" w:w="80"/>
              <w:left w:type="dxa" w:w="100"/>
              <w:bottom w:type="dxa" w:w="80"/>
              <w:right w:type="dxa" w:w="100"/>
            </w:tcMar>
            <w:vAlign w:val="center"/>
          </w:tcPr>
          <w:p>
            <w:pPr>
              <w:spacing w:after="40"/>
              <w:jc w:val="left"/>
            </w:pPr>
            <w:r>
              <w:rPr>
                <w:b w:val="false"/>
                <w:bCs w:val="false"/>
                <w:color w:val="1B1B1B"/>
                <w:sz w:val="19"/>
                <w:szCs w:val="19"/>
              </w:rPr>
              <w:t xml:space="preserve">Crítica</w:t>
            </w:r>
          </w:p>
        </w:tc>
        <w:tc>
          <w:tcPr>
            <w:tcW w:type="dxa" w:w="2760"/>
            <w:tcMar>
              <w:top w:type="dxa" w:w="80"/>
              <w:left w:type="dxa" w:w="100"/>
              <w:bottom w:type="dxa" w:w="80"/>
              <w:right w:type="dxa" w:w="100"/>
            </w:tcMar>
            <w:vAlign w:val="center"/>
          </w:tcPr>
          <w:p>
            <w:pPr>
              <w:spacing w:after="40"/>
              <w:jc w:val="left"/>
            </w:pPr>
            <w:r>
              <w:rPr>
                <w:b w:val="false"/>
                <w:bCs w:val="false"/>
                <w:color w:val="1B1B1B"/>
                <w:sz w:val="19"/>
                <w:szCs w:val="19"/>
              </w:rPr>
              <w:t xml:space="preserve">Prueba de concurrencia (2 requests en paralelo) para confirmar que el pessimistic_write de WalletService evita que ambos canjes se completen; solo uno debe tener éxito</w:t>
            </w:r>
          </w:p>
        </w:tc>
      </w:tr>
      <w:tr>
        <w:tc>
          <w:tcPr>
            <w:tcW w:type="dxa" w:w="65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R-04</w:t>
            </w:r>
          </w:p>
        </w:tc>
        <w:tc>
          <w:tcPr>
            <w:tcW w:type="dxa" w:w="325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Un Cliente llama directamente al endpoint de validar reciclajes (bypaseando la UI)</w:t>
            </w:r>
          </w:p>
        </w:tc>
        <w:tc>
          <w:tcPr>
            <w:tcW w:type="dxa" w:w="155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recycling-records</w:t>
            </w:r>
          </w:p>
        </w:tc>
        <w:tc>
          <w:tcPr>
            <w:tcW w:type="dxa" w:w="115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Alta</w:t>
            </w:r>
          </w:p>
        </w:tc>
        <w:tc>
          <w:tcPr>
            <w:tcW w:type="dxa" w:w="276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Prueba de API: POST/PATCH directo con JWT de Cliente; se espera 403 ("Solo un validador o administrador puede validar")</w:t>
            </w:r>
          </w:p>
        </w:tc>
      </w:tr>
      <w:tr>
        <w:tc>
          <w:tcPr>
            <w:tcW w:type="dxa" w:w="650"/>
            <w:tcMar>
              <w:top w:type="dxa" w:w="80"/>
              <w:left w:type="dxa" w:w="100"/>
              <w:bottom w:type="dxa" w:w="80"/>
              <w:right w:type="dxa" w:w="100"/>
            </w:tcMar>
            <w:vAlign w:val="center"/>
          </w:tcPr>
          <w:p>
            <w:pPr>
              <w:spacing w:after="40"/>
              <w:jc w:val="left"/>
            </w:pPr>
            <w:r>
              <w:rPr>
                <w:b w:val="false"/>
                <w:bCs w:val="false"/>
                <w:color w:val="1B1B1B"/>
                <w:sz w:val="19"/>
                <w:szCs w:val="19"/>
              </w:rPr>
              <w:t xml:space="preserve">R-05</w:t>
            </w:r>
          </w:p>
        </w:tc>
        <w:tc>
          <w:tcPr>
            <w:tcW w:type="dxa" w:w="3250"/>
            <w:tcMar>
              <w:top w:type="dxa" w:w="80"/>
              <w:left w:type="dxa" w:w="100"/>
              <w:bottom w:type="dxa" w:w="80"/>
              <w:right w:type="dxa" w:w="100"/>
            </w:tcMar>
            <w:vAlign w:val="center"/>
          </w:tcPr>
          <w:p>
            <w:pPr>
              <w:spacing w:after="40"/>
              <w:jc w:val="left"/>
            </w:pPr>
            <w:r>
              <w:rPr>
                <w:b w:val="false"/>
                <w:bCs w:val="false"/>
                <w:color w:val="1B1B1B"/>
                <w:sz w:val="19"/>
                <w:szCs w:val="19"/>
              </w:rPr>
              <w:t xml:space="preserve">Doble envío de la misma validación (doble clic en la UI del validador)</w:t>
            </w:r>
          </w:p>
        </w:tc>
        <w:tc>
          <w:tcPr>
            <w:tcW w:type="dxa" w:w="1550"/>
            <w:tcMar>
              <w:top w:type="dxa" w:w="80"/>
              <w:left w:type="dxa" w:w="100"/>
              <w:bottom w:type="dxa" w:w="80"/>
              <w:right w:type="dxa" w:w="100"/>
            </w:tcMar>
            <w:vAlign w:val="center"/>
          </w:tcPr>
          <w:p>
            <w:pPr>
              <w:spacing w:after="40"/>
              <w:jc w:val="left"/>
            </w:pPr>
            <w:r>
              <w:rPr>
                <w:b w:val="false"/>
                <w:bCs w:val="false"/>
                <w:color w:val="1B1B1B"/>
                <w:sz w:val="19"/>
                <w:szCs w:val="19"/>
              </w:rPr>
              <w:t xml:space="preserve">recycling-records / wallet</w:t>
            </w:r>
          </w:p>
        </w:tc>
        <w:tc>
          <w:tcPr>
            <w:tcW w:type="dxa" w:w="1150"/>
            <w:tcMar>
              <w:top w:type="dxa" w:w="80"/>
              <w:left w:type="dxa" w:w="100"/>
              <w:bottom w:type="dxa" w:w="80"/>
              <w:right w:type="dxa" w:w="100"/>
            </w:tcMar>
            <w:vAlign w:val="center"/>
          </w:tcPr>
          <w:p>
            <w:pPr>
              <w:spacing w:after="40"/>
              <w:jc w:val="left"/>
            </w:pPr>
            <w:r>
              <w:rPr>
                <w:b w:val="false"/>
                <w:bCs w:val="false"/>
                <w:color w:val="1B1B1B"/>
                <w:sz w:val="19"/>
                <w:szCs w:val="19"/>
              </w:rPr>
              <w:t xml:space="preserve">Crítica</w:t>
            </w:r>
          </w:p>
        </w:tc>
        <w:tc>
          <w:tcPr>
            <w:tcW w:type="dxa" w:w="2760"/>
            <w:tcMar>
              <w:top w:type="dxa" w:w="80"/>
              <w:left w:type="dxa" w:w="100"/>
              <w:bottom w:type="dxa" w:w="80"/>
              <w:right w:type="dxa" w:w="100"/>
            </w:tcMar>
            <w:vAlign w:val="center"/>
          </w:tcPr>
          <w:p>
            <w:pPr>
              <w:spacing w:after="40"/>
              <w:jc w:val="left"/>
            </w:pPr>
            <w:r>
              <w:rPr>
                <w:b w:val="false"/>
                <w:bCs w:val="false"/>
                <w:color w:val="1B1B1B"/>
                <w:sz w:val="19"/>
                <w:szCs w:val="19"/>
              </w:rPr>
              <w:t xml:space="preserve">Enviar dos PATCH consecutivos al mismo recyclingRecordId; el segundo debe fallar con 409 y NO debe duplicar el WalletMovement de ganancia</w:t>
            </w:r>
          </w:p>
        </w:tc>
      </w:tr>
      <w:tr>
        <w:tc>
          <w:tcPr>
            <w:tcW w:type="dxa" w:w="65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R-06</w:t>
            </w:r>
          </w:p>
        </w:tc>
        <w:tc>
          <w:tcPr>
            <w:tcW w:type="dxa" w:w="325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Token JWT expirado o alterado usado contra cualquier ruta protegida</w:t>
            </w:r>
          </w:p>
        </w:tc>
        <w:tc>
          <w:tcPr>
            <w:tcW w:type="dxa" w:w="155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auth (JwtAuthGuard)</w:t>
            </w:r>
          </w:p>
        </w:tc>
        <w:tc>
          <w:tcPr>
            <w:tcW w:type="dxa" w:w="115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Alta</w:t>
            </w:r>
          </w:p>
        </w:tc>
        <w:tc>
          <w:tcPr>
            <w:tcW w:type="dxa" w:w="2760"/>
            <w:shd w:fill="F2F2F2" w:val="clear"/>
            <w:tcMar>
              <w:top w:type="dxa" w:w="80"/>
              <w:left w:type="dxa" w:w="100"/>
              <w:bottom w:type="dxa" w:w="80"/>
              <w:right w:type="dxa" w:w="100"/>
            </w:tcMar>
            <w:vAlign w:val="center"/>
          </w:tcPr>
          <w:p>
            <w:pPr>
              <w:spacing w:after="40"/>
              <w:jc w:val="left"/>
            </w:pPr>
            <w:r>
              <w:rPr>
                <w:b w:val="false"/>
                <w:bCs w:val="false"/>
                <w:color w:val="1B1B1B"/>
                <w:sz w:val="19"/>
                <w:szCs w:val="19"/>
              </w:rPr>
              <w:t xml:space="preserve">Prueba de integración con token vencido / firma inválida; se espera 401 en todas las rutas con @UseGuards(JwtAuthGuard)</w:t>
            </w:r>
          </w:p>
        </w:tc>
      </w:tr>
    </w:tbl>
    <w:p>
      <w:pPr>
        <w:spacing w:after="150"/>
      </w:pPr>
    </w:p>
    <w:p>
      <w:pPr>
        <w:pBdr>
          <w:left w:val="single" w:color="F9A825" w:sz="18" w:space="8"/>
        </w:pBdr>
        <w:shd w:fill="FFF8E1" w:val="clear"/>
        <w:spacing w:after="200" w:before="100" w:line="276"/>
        <w:ind w:left="100"/>
      </w:pPr>
      <w:r>
        <w:rPr>
          <w:b/>
          <w:bCs/>
          <w:i/>
          <w:iCs/>
          <w:sz w:val="20"/>
          <w:szCs w:val="20"/>
        </w:rPr>
        <w:t xml:space="preserve">Nota: </w:t>
      </w:r>
      <w:r>
        <w:rPr>
          <w:i/>
          <w:iCs/>
          <w:sz w:val="20"/>
          <w:szCs w:val="20"/>
        </w:rPr>
        <w:t xml:space="preserve">Los IDs (CN-, CB-, R-) están pensados para reutilizarse como nombres de test suites en Jest/Cypress en la Fase 2 (por ejemplo, it("CB-01: rechaza canje sin saldo suficiente", ...)), de modo que la trazabilidad entre el caso de prueba y el código automatizado sea directa.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2026-07-09T01:22:22.336Z</dcterms:created>
  <dcterms:modified xsi:type="dcterms:W3CDTF">2026-07-09T01:22:22.353Z</dcterms:modified>
</cp:coreProperties>
</file>

<file path=docProps/custom.xml><?xml version="1.0" encoding="utf-8"?>
<Properties xmlns="http://schemas.openxmlformats.org/officeDocument/2006/custom-properties" xmlns:vt="http://schemas.openxmlformats.org/officeDocument/2006/docPropsVTypes"/>
</file>