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PII Redaction &amp; Synthetic Replacement Tool</w:t>
      </w:r>
    </w:p>
    <w:p>
      <w:pPr>
        <w:spacing w:after="360"/>
      </w:pPr>
      <w:r>
        <w:rPr>
          <w:rFonts w:ascii="Arial" w:hAnsi="Arial"/>
          <w:i/>
          <w:color w:val="64748B"/>
          <w:sz w:val="26"/>
        </w:rPr>
        <w:t>Evaluation Strategy, Architectural Design &amp; Metric Benchmark Report</w:t>
      </w:r>
    </w:p>
    <w:p>
      <w:pPr>
        <w:spacing w:after="280"/>
      </w:pPr>
      <w:r>
        <w:rPr>
          <w:b/>
        </w:rPr>
        <w:t xml:space="preserve">Author: </w:t>
      </w:r>
      <w:r>
        <w:t>Ankit</w:t>
        <w:br/>
      </w:r>
      <w:r>
        <w:rPr>
          <w:b/>
        </w:rPr>
        <w:t xml:space="preserve">Assignment: </w:t>
      </w:r>
      <w:r>
        <w:t>Microsoft Presidio Hybrid Word Document PII Redaction</w:t>
        <w:br/>
      </w:r>
      <w:r>
        <w:rPr>
          <w:b/>
        </w:rPr>
        <w:t xml:space="preserve">Repository: </w:t>
      </w:r>
      <w:r>
        <w:t>https://github.com/Ankii04/PII-Redaction-Tool.git</w:t>
        <w:br/>
      </w:r>
      <w:r>
        <w:rPr>
          <w:b/>
        </w:rPr>
        <w:t xml:space="preserve">Live Cloud Service: </w:t>
      </w:r>
      <w:r>
        <w:t>https://pii-redaction-tool-2wnc.onrender.com/</w:t>
        <w:br/>
      </w:r>
    </w:p>
    <w:p>
      <w:pPr>
        <w:pStyle w:val="Heading1"/>
        <w:spacing w:before="240" w:after="120"/>
      </w:pPr>
      <w:r>
        <w:t>1. Executive Summary</w:t>
      </w:r>
    </w:p>
    <w:p>
      <w:r>
        <w:t>This document details the evaluation strategy, mathematical metrics, and architectural decisions implemented for the PII Redaction and Sanitization Tool. The objective is to redact sensitive PII entities from unstructured Microsoft Word (.docx) documents—specifically large-scale Red Herring Prospectuses—while preserving complete document structure, tabular alignment, formatting, and replacing detected PII with consistent, context-realistic fake values throughout the document.</w:t>
      </w:r>
    </w:p>
    <w:p>
      <w:pPr>
        <w:pStyle w:val="Heading1"/>
      </w:pPr>
      <w:r>
        <w:t>2. Hybrid Architecture &amp; Engine Design</w:t>
      </w:r>
    </w:p>
    <w:p>
      <w:r>
        <w:t>The solution integrates Microsoft Presidio Analyzer and Anonymizer with spaCy NLP and specialized regex recognizers:</w:t>
        <w:br/>
        <w:t>• Tier 1 (Contextual NER): spaCy token-level classification identifies PERSON entities and contextual nouns.</w:t>
        <w:br/>
        <w:t>• Tier 2 (Custom Pattern Recognizers): Domain-specific Indian phone recognizers (+91 mobile and STD landlines), strict US SSN formats with delimiter validation, credit cards with Luhn checksum validation, dates of birth with anchor context, corporate entity identifiers (Private Limited, LLP, Ltd), and Indian addresses with PIN codes.</w:t>
        <w:br/>
        <w:t>• Tier 3 (False-Positive Suppression): Multi-layer suppression for financial metrics (₹5,000 million), fiscal years (FY 2024-25), page numbers, and capital-market regulatory abbreviations (SCRR, SEBI, ICDR, FEMA, RBI).</w:t>
        <w:br/>
        <w:t>• Tier 4 (Deterministic Synthetic Replacements): In-memory FakeValueRegistry maps identical original PII occurrences to consistent fake alternatives throughout the document (e.g. Sarthak Malvadkar -&gt; Ananya Sharma across all 20 occurrences).</w:t>
      </w:r>
    </w:p>
    <w:p>
      <w:pPr>
        <w:pStyle w:val="Heading1"/>
      </w:pPr>
      <w:r>
        <w:t>3. Evaluation Strategy &amp; Metric Benchmark</w:t>
      </w:r>
    </w:p>
    <w:p>
      <w:r>
        <w:t>Standard classification accuracy is mathematically misleading for PII redaction because &gt;99% of words in a prospectus are non-PII tokens. A naive model that classifies everything as non-PII would achieve &gt;99% token accuracy while failing completely. Therefore, Span-Level Precision, Recall, and F1-Score are the primary evaluation metrics.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before="40"/>
            </w:pPr>
            <w:r>
              <w:rPr>
                <w:b/>
                <w:sz w:val="19"/>
              </w:rPr>
              <w:t>Entity Category</w:t>
            </w:r>
          </w:p>
        </w:tc>
        <w:tc>
          <w:tcPr>
            <w:tcW w:type="dxa" w:w="1337"/>
          </w:tcPr>
          <w:p>
            <w:pPr>
              <w:spacing w:after="40" w:before="40"/>
            </w:pPr>
            <w:r>
              <w:rPr>
                <w:b/>
                <w:sz w:val="19"/>
              </w:rPr>
              <w:t>TP</w:t>
            </w:r>
          </w:p>
        </w:tc>
        <w:tc>
          <w:tcPr>
            <w:tcW w:type="dxa" w:w="1337"/>
          </w:tcPr>
          <w:p>
            <w:pPr>
              <w:spacing w:after="40" w:before="40"/>
            </w:pPr>
            <w:r>
              <w:rPr>
                <w:b/>
                <w:sz w:val="19"/>
              </w:rPr>
              <w:t>FP</w:t>
            </w:r>
          </w:p>
        </w:tc>
        <w:tc>
          <w:tcPr>
            <w:tcW w:type="dxa" w:w="1337"/>
          </w:tcPr>
          <w:p>
            <w:pPr>
              <w:spacing w:after="40" w:before="40"/>
            </w:pPr>
            <w:r>
              <w:rPr>
                <w:b/>
                <w:sz w:val="19"/>
              </w:rPr>
              <w:t>FN</w:t>
            </w:r>
          </w:p>
        </w:tc>
        <w:tc>
          <w:tcPr>
            <w:tcW w:type="dxa" w:w="1337"/>
          </w:tcPr>
          <w:p>
            <w:pPr>
              <w:spacing w:after="40" w:before="40"/>
            </w:pPr>
            <w:r>
              <w:rPr>
                <w:b/>
                <w:sz w:val="19"/>
              </w:rPr>
              <w:t>Precision</w:t>
            </w:r>
          </w:p>
        </w:tc>
        <w:tc>
          <w:tcPr>
            <w:tcW w:type="dxa" w:w="1337"/>
          </w:tcPr>
          <w:p>
            <w:pPr>
              <w:spacing w:after="40" w:before="40"/>
            </w:pPr>
            <w:r>
              <w:rPr>
                <w:b/>
                <w:sz w:val="19"/>
              </w:rPr>
              <w:t>Recall</w:t>
            </w:r>
          </w:p>
        </w:tc>
        <w:tc>
          <w:tcPr>
            <w:tcW w:type="dxa" w:w="1337"/>
          </w:tcPr>
          <w:p>
            <w:pPr>
              <w:spacing w:after="40" w:before="40"/>
            </w:pPr>
            <w:r>
              <w:rPr>
                <w:b/>
                <w:sz w:val="19"/>
              </w:rPr>
              <w:t>F1-Score</w:t>
            </w:r>
          </w:p>
        </w:tc>
      </w:tr>
      <w:tr>
        <w:tc>
          <w:tcPr>
            <w:tcW w:type="dxa" w:w="1337"/>
          </w:tcPr>
          <w:p>
            <w:pPr>
              <w:spacing w:after="40" w:before="40"/>
            </w:pPr>
            <w:r>
              <w:rPr>
                <w:sz w:val="19"/>
              </w:rPr>
              <w:t>ADDRESS</w:t>
            </w:r>
          </w:p>
        </w:tc>
        <w:tc>
          <w:tcPr>
            <w:tcW w:type="dxa" w:w="1337"/>
          </w:tcPr>
          <w:p>
            <w:pPr>
              <w:spacing w:after="40" w:before="40"/>
            </w:pPr>
            <w:r>
              <w:rPr>
                <w:sz w:val="19"/>
              </w:rPr>
              <w:t>2</w:t>
            </w:r>
          </w:p>
        </w:tc>
        <w:tc>
          <w:tcPr>
            <w:tcW w:type="dxa" w:w="1337"/>
          </w:tcPr>
          <w:p>
            <w:pPr>
              <w:spacing w:after="40" w:before="40"/>
            </w:pPr>
            <w:r>
              <w:rPr>
                <w:sz w:val="19"/>
              </w:rPr>
              <w:t>0</w:t>
            </w:r>
          </w:p>
        </w:tc>
        <w:tc>
          <w:tcPr>
            <w:tcW w:type="dxa" w:w="1337"/>
          </w:tcPr>
          <w:p>
            <w:pPr>
              <w:spacing w:after="40" w:before="40"/>
            </w:pPr>
            <w:r>
              <w:rPr>
                <w:sz w:val="19"/>
              </w:rPr>
              <w:t>0</w:t>
            </w:r>
          </w:p>
        </w:tc>
        <w:tc>
          <w:tcPr>
            <w:tcW w:type="dxa" w:w="1337"/>
          </w:tcPr>
          <w:p>
            <w:pPr>
              <w:spacing w:after="40" w:before="40"/>
            </w:pPr>
            <w:r>
              <w:rPr>
                <w:sz w:val="19"/>
              </w:rPr>
              <w:t>1.000</w:t>
            </w:r>
          </w:p>
        </w:tc>
        <w:tc>
          <w:tcPr>
            <w:tcW w:type="dxa" w:w="1337"/>
          </w:tcPr>
          <w:p>
            <w:pPr>
              <w:spacing w:after="40" w:before="40"/>
            </w:pPr>
            <w:r>
              <w:rPr>
                <w:sz w:val="19"/>
              </w:rPr>
              <w:t>1.000</w:t>
            </w:r>
          </w:p>
        </w:tc>
        <w:tc>
          <w:tcPr>
            <w:tcW w:type="dxa" w:w="1337"/>
          </w:tcPr>
          <w:p>
            <w:pPr>
              <w:spacing w:after="40" w:before="40"/>
            </w:pPr>
            <w:r>
              <w:rPr>
                <w:sz w:val="19"/>
              </w:rPr>
              <w:t>1.000</w:t>
            </w:r>
          </w:p>
        </w:tc>
      </w:tr>
      <w:tr>
        <w:tc>
          <w:tcPr>
            <w:tcW w:type="dxa" w:w="1337"/>
          </w:tcPr>
          <w:p>
            <w:pPr>
              <w:spacing w:after="40" w:before="40"/>
            </w:pPr>
            <w:r>
              <w:rPr>
                <w:sz w:val="19"/>
              </w:rPr>
              <w:t>EMAIL_ADDRESS</w:t>
            </w:r>
          </w:p>
        </w:tc>
        <w:tc>
          <w:tcPr>
            <w:tcW w:type="dxa" w:w="1337"/>
          </w:tcPr>
          <w:p>
            <w:pPr>
              <w:spacing w:after="40" w:before="40"/>
            </w:pPr>
            <w:r>
              <w:rPr>
                <w:sz w:val="19"/>
              </w:rPr>
              <w:t>5</w:t>
            </w:r>
          </w:p>
        </w:tc>
        <w:tc>
          <w:tcPr>
            <w:tcW w:type="dxa" w:w="1337"/>
          </w:tcPr>
          <w:p>
            <w:pPr>
              <w:spacing w:after="40" w:before="40"/>
            </w:pPr>
            <w:r>
              <w:rPr>
                <w:sz w:val="19"/>
              </w:rPr>
              <w:t>0</w:t>
            </w:r>
          </w:p>
        </w:tc>
        <w:tc>
          <w:tcPr>
            <w:tcW w:type="dxa" w:w="1337"/>
          </w:tcPr>
          <w:p>
            <w:pPr>
              <w:spacing w:after="40" w:before="40"/>
            </w:pPr>
            <w:r>
              <w:rPr>
                <w:sz w:val="19"/>
              </w:rPr>
              <w:t>0</w:t>
            </w:r>
          </w:p>
        </w:tc>
        <w:tc>
          <w:tcPr>
            <w:tcW w:type="dxa" w:w="1337"/>
          </w:tcPr>
          <w:p>
            <w:pPr>
              <w:spacing w:after="40" w:before="40"/>
            </w:pPr>
            <w:r>
              <w:rPr>
                <w:sz w:val="19"/>
              </w:rPr>
              <w:t>1.000</w:t>
            </w:r>
          </w:p>
        </w:tc>
        <w:tc>
          <w:tcPr>
            <w:tcW w:type="dxa" w:w="1337"/>
          </w:tcPr>
          <w:p>
            <w:pPr>
              <w:spacing w:after="40" w:before="40"/>
            </w:pPr>
            <w:r>
              <w:rPr>
                <w:sz w:val="19"/>
              </w:rPr>
              <w:t>1.000</w:t>
            </w:r>
          </w:p>
        </w:tc>
        <w:tc>
          <w:tcPr>
            <w:tcW w:type="dxa" w:w="1337"/>
          </w:tcPr>
          <w:p>
            <w:pPr>
              <w:spacing w:after="40" w:before="40"/>
            </w:pPr>
            <w:r>
              <w:rPr>
                <w:sz w:val="19"/>
              </w:rPr>
              <w:t>1.000</w:t>
            </w:r>
          </w:p>
        </w:tc>
      </w:tr>
      <w:tr>
        <w:tc>
          <w:tcPr>
            <w:tcW w:type="dxa" w:w="1337"/>
          </w:tcPr>
          <w:p>
            <w:pPr>
              <w:spacing w:after="40" w:before="40"/>
            </w:pPr>
            <w:r>
              <w:rPr>
                <w:sz w:val="19"/>
              </w:rPr>
              <w:t>ORGANIZATION</w:t>
            </w:r>
          </w:p>
        </w:tc>
        <w:tc>
          <w:tcPr>
            <w:tcW w:type="dxa" w:w="1337"/>
          </w:tcPr>
          <w:p>
            <w:pPr>
              <w:spacing w:after="40" w:before="40"/>
            </w:pPr>
            <w:r>
              <w:rPr>
                <w:sz w:val="19"/>
              </w:rPr>
              <w:t>1</w:t>
            </w:r>
          </w:p>
        </w:tc>
        <w:tc>
          <w:tcPr>
            <w:tcW w:type="dxa" w:w="1337"/>
          </w:tcPr>
          <w:p>
            <w:pPr>
              <w:spacing w:after="40" w:before="40"/>
            </w:pPr>
            <w:r>
              <w:rPr>
                <w:sz w:val="19"/>
              </w:rPr>
              <w:t>0</w:t>
            </w:r>
          </w:p>
        </w:tc>
        <w:tc>
          <w:tcPr>
            <w:tcW w:type="dxa" w:w="1337"/>
          </w:tcPr>
          <w:p>
            <w:pPr>
              <w:spacing w:after="40" w:before="40"/>
            </w:pPr>
            <w:r>
              <w:rPr>
                <w:sz w:val="19"/>
              </w:rPr>
              <w:t>0</w:t>
            </w:r>
          </w:p>
        </w:tc>
        <w:tc>
          <w:tcPr>
            <w:tcW w:type="dxa" w:w="1337"/>
          </w:tcPr>
          <w:p>
            <w:pPr>
              <w:spacing w:after="40" w:before="40"/>
            </w:pPr>
            <w:r>
              <w:rPr>
                <w:sz w:val="19"/>
              </w:rPr>
              <w:t>1.000</w:t>
            </w:r>
          </w:p>
        </w:tc>
        <w:tc>
          <w:tcPr>
            <w:tcW w:type="dxa" w:w="1337"/>
          </w:tcPr>
          <w:p>
            <w:pPr>
              <w:spacing w:after="40" w:before="40"/>
            </w:pPr>
            <w:r>
              <w:rPr>
                <w:sz w:val="19"/>
              </w:rPr>
              <w:t>1.000</w:t>
            </w:r>
          </w:p>
        </w:tc>
        <w:tc>
          <w:tcPr>
            <w:tcW w:type="dxa" w:w="1337"/>
          </w:tcPr>
          <w:p>
            <w:pPr>
              <w:spacing w:after="40" w:before="40"/>
            </w:pPr>
            <w:r>
              <w:rPr>
                <w:sz w:val="19"/>
              </w:rPr>
              <w:t>1.000</w:t>
            </w:r>
          </w:p>
        </w:tc>
      </w:tr>
      <w:tr>
        <w:tc>
          <w:tcPr>
            <w:tcW w:type="dxa" w:w="1337"/>
          </w:tcPr>
          <w:p>
            <w:pPr>
              <w:spacing w:after="40" w:before="40"/>
            </w:pPr>
            <w:r>
              <w:rPr>
                <w:sz w:val="19"/>
              </w:rPr>
              <w:t>PERSON</w:t>
            </w:r>
          </w:p>
        </w:tc>
        <w:tc>
          <w:tcPr>
            <w:tcW w:type="dxa" w:w="1337"/>
          </w:tcPr>
          <w:p>
            <w:pPr>
              <w:spacing w:after="40" w:before="40"/>
            </w:pPr>
            <w:r>
              <w:rPr>
                <w:sz w:val="19"/>
              </w:rPr>
              <w:t>8</w:t>
            </w:r>
          </w:p>
        </w:tc>
        <w:tc>
          <w:tcPr>
            <w:tcW w:type="dxa" w:w="1337"/>
          </w:tcPr>
          <w:p>
            <w:pPr>
              <w:spacing w:after="40" w:before="40"/>
            </w:pPr>
            <w:r>
              <w:rPr>
                <w:sz w:val="19"/>
              </w:rPr>
              <w:t>0</w:t>
            </w:r>
          </w:p>
        </w:tc>
        <w:tc>
          <w:tcPr>
            <w:tcW w:type="dxa" w:w="1337"/>
          </w:tcPr>
          <w:p>
            <w:pPr>
              <w:spacing w:after="40" w:before="40"/>
            </w:pPr>
            <w:r>
              <w:rPr>
                <w:sz w:val="19"/>
              </w:rPr>
              <w:t>2</w:t>
            </w:r>
          </w:p>
        </w:tc>
        <w:tc>
          <w:tcPr>
            <w:tcW w:type="dxa" w:w="1337"/>
          </w:tcPr>
          <w:p>
            <w:pPr>
              <w:spacing w:after="40" w:before="40"/>
            </w:pPr>
            <w:r>
              <w:rPr>
                <w:sz w:val="19"/>
              </w:rPr>
              <w:t>1.000</w:t>
            </w:r>
          </w:p>
        </w:tc>
        <w:tc>
          <w:tcPr>
            <w:tcW w:type="dxa" w:w="1337"/>
          </w:tcPr>
          <w:p>
            <w:pPr>
              <w:spacing w:after="40" w:before="40"/>
            </w:pPr>
            <w:r>
              <w:rPr>
                <w:sz w:val="19"/>
              </w:rPr>
              <w:t>0.800</w:t>
            </w:r>
          </w:p>
        </w:tc>
        <w:tc>
          <w:tcPr>
            <w:tcW w:type="dxa" w:w="1337"/>
          </w:tcPr>
          <w:p>
            <w:pPr>
              <w:spacing w:after="40" w:before="40"/>
            </w:pPr>
            <w:r>
              <w:rPr>
                <w:sz w:val="19"/>
              </w:rPr>
              <w:t>0.889</w:t>
            </w:r>
          </w:p>
        </w:tc>
      </w:tr>
      <w:tr>
        <w:tc>
          <w:tcPr>
            <w:tcW w:type="dxa" w:w="1337"/>
          </w:tcPr>
          <w:p>
            <w:pPr>
              <w:spacing w:after="40" w:before="40"/>
            </w:pPr>
            <w:r>
              <w:rPr>
                <w:sz w:val="19"/>
              </w:rPr>
              <w:t>PHONE_NUMBER</w:t>
            </w:r>
          </w:p>
        </w:tc>
        <w:tc>
          <w:tcPr>
            <w:tcW w:type="dxa" w:w="1337"/>
          </w:tcPr>
          <w:p>
            <w:pPr>
              <w:spacing w:after="40" w:before="40"/>
            </w:pPr>
            <w:r>
              <w:rPr>
                <w:sz w:val="19"/>
              </w:rPr>
              <w:t>2</w:t>
            </w:r>
          </w:p>
        </w:tc>
        <w:tc>
          <w:tcPr>
            <w:tcW w:type="dxa" w:w="1337"/>
          </w:tcPr>
          <w:p>
            <w:pPr>
              <w:spacing w:after="40" w:before="40"/>
            </w:pPr>
            <w:r>
              <w:rPr>
                <w:sz w:val="19"/>
              </w:rPr>
              <w:t>0</w:t>
            </w:r>
          </w:p>
        </w:tc>
        <w:tc>
          <w:tcPr>
            <w:tcW w:type="dxa" w:w="1337"/>
          </w:tcPr>
          <w:p>
            <w:pPr>
              <w:spacing w:after="40" w:before="40"/>
            </w:pPr>
            <w:r>
              <w:rPr>
                <w:sz w:val="19"/>
              </w:rPr>
              <w:t>2</w:t>
            </w:r>
          </w:p>
        </w:tc>
        <w:tc>
          <w:tcPr>
            <w:tcW w:type="dxa" w:w="1337"/>
          </w:tcPr>
          <w:p>
            <w:pPr>
              <w:spacing w:after="40" w:before="40"/>
            </w:pPr>
            <w:r>
              <w:rPr>
                <w:sz w:val="19"/>
              </w:rPr>
              <w:t>1.000</w:t>
            </w:r>
          </w:p>
        </w:tc>
        <w:tc>
          <w:tcPr>
            <w:tcW w:type="dxa" w:w="1337"/>
          </w:tcPr>
          <w:p>
            <w:pPr>
              <w:spacing w:after="40" w:before="40"/>
            </w:pPr>
            <w:r>
              <w:rPr>
                <w:sz w:val="19"/>
              </w:rPr>
              <w:t>0.500</w:t>
            </w:r>
          </w:p>
        </w:tc>
        <w:tc>
          <w:tcPr>
            <w:tcW w:type="dxa" w:w="1337"/>
          </w:tcPr>
          <w:p>
            <w:pPr>
              <w:spacing w:after="40" w:before="40"/>
            </w:pPr>
            <w:r>
              <w:rPr>
                <w:sz w:val="19"/>
              </w:rPr>
              <w:t>0.667</w:t>
            </w:r>
          </w:p>
        </w:tc>
      </w:tr>
      <w:tr>
        <w:tc>
          <w:tcPr>
            <w:tcW w:type="dxa" w:w="1337"/>
          </w:tcPr>
          <w:p>
            <w:pPr>
              <w:spacing w:after="40" w:before="40"/>
            </w:pPr>
            <w:r>
              <w:rPr>
                <w:b/>
                <w:sz w:val="19"/>
              </w:rPr>
              <w:t>OVERALL (Ground Truth Sample)</w:t>
            </w:r>
          </w:p>
        </w:tc>
        <w:tc>
          <w:tcPr>
            <w:tcW w:type="dxa" w:w="1337"/>
          </w:tcPr>
          <w:p>
            <w:pPr>
              <w:spacing w:after="40" w:before="40"/>
            </w:pPr>
            <w:r>
              <w:rPr>
                <w:b/>
                <w:sz w:val="19"/>
              </w:rPr>
              <w:t>18</w:t>
            </w:r>
          </w:p>
        </w:tc>
        <w:tc>
          <w:tcPr>
            <w:tcW w:type="dxa" w:w="1337"/>
          </w:tcPr>
          <w:p>
            <w:pPr>
              <w:spacing w:after="40" w:before="40"/>
            </w:pPr>
            <w:r>
              <w:rPr>
                <w:b/>
                <w:sz w:val="19"/>
              </w:rPr>
              <w:t>0</w:t>
            </w:r>
          </w:p>
        </w:tc>
        <w:tc>
          <w:tcPr>
            <w:tcW w:type="dxa" w:w="1337"/>
          </w:tcPr>
          <w:p>
            <w:pPr>
              <w:spacing w:after="40" w:before="40"/>
            </w:pPr>
            <w:r>
              <w:rPr>
                <w:b/>
                <w:sz w:val="19"/>
              </w:rPr>
              <w:t>4</w:t>
            </w:r>
          </w:p>
        </w:tc>
        <w:tc>
          <w:tcPr>
            <w:tcW w:type="dxa" w:w="1337"/>
          </w:tcPr>
          <w:p>
            <w:pPr>
              <w:spacing w:after="40" w:before="40"/>
            </w:pPr>
            <w:r>
              <w:rPr>
                <w:b/>
                <w:sz w:val="19"/>
              </w:rPr>
              <w:t>1.000</w:t>
            </w:r>
          </w:p>
        </w:tc>
        <w:tc>
          <w:tcPr>
            <w:tcW w:type="dxa" w:w="1337"/>
          </w:tcPr>
          <w:p>
            <w:pPr>
              <w:spacing w:after="40" w:before="40"/>
            </w:pPr>
            <w:r>
              <w:rPr>
                <w:b/>
                <w:sz w:val="19"/>
              </w:rPr>
              <w:t>0.818</w:t>
            </w:r>
          </w:p>
        </w:tc>
        <w:tc>
          <w:tcPr>
            <w:tcW w:type="dxa" w:w="1337"/>
          </w:tcPr>
          <w:p>
            <w:pPr>
              <w:spacing w:after="40" w:before="40"/>
            </w:pPr>
            <w:r>
              <w:rPr>
                <w:b/>
                <w:sz w:val="19"/>
              </w:rPr>
              <w:t>0.900</w:t>
            </w:r>
          </w:p>
        </w:tc>
      </w:tr>
    </w:tbl>
    <w:p>
      <w:pPr>
        <w:spacing w:after="120"/>
      </w:pPr>
    </w:p>
    <w:p>
      <w:pPr>
        <w:pStyle w:val="Heading1"/>
      </w:pPr>
      <w:r>
        <w:t>4. Document Scope &amp; Absent Categories</w:t>
      </w:r>
    </w:p>
    <w:p>
      <w:r>
        <w:t>The evaluation dataset contains zero instances of CREDIT_CARD, US_SSN, IP_ADDRESS, and explicit DATE_OF_BIRTH because the source document is an Indian IPO Red Herring Prospectus. These categories have dedicated, passing unit test suites:</w:t>
        <w:br/>
        <w:t>• CREDIT_CARD: Tested with Luhn checksum validation algorithm.</w:t>
        <w:br/>
        <w:t>• US_SSN: Tested with strict hyphenated standard regex [0-9]{3}-[0-9]{2}-[0-9]{4}.</w:t>
        <w:br/>
        <w:t>• IP_ADDRESS: Tested with IPv4 octet boundary rules.</w:t>
        <w:br/>
        <w:t>• DATE_OF_BIRTH: Tested with keyword anchor triggers (e.g. Born on, Date of Birth).</w:t>
      </w:r>
    </w:p>
    <w:p>
      <w:pPr>
        <w:pStyle w:val="Heading1"/>
      </w:pPr>
      <w:r>
        <w:t>5. Automated Verification &amp; Regression Testing</w:t>
      </w:r>
    </w:p>
    <w:p>
      <w:r>
        <w:t>The codebase contains a comprehensive automated test suite (50 test cases) in tests/test_pii.py executed via pytest:</w:t>
        <w:br/>
        <w:t>• 26 Positive Detection Tests (validating exact span detection across all 9 PII categories)</w:t>
        <w:br/>
        <w:t>• 14 False Positive Tests (verifying financial figures, fiscal years, and regulatory codes are preserved)</w:t>
        <w:br/>
        <w:t>• 10 Synthetic DOCX Tests (verifying table cell formatting, run offsets, and original document immutability)</w:t>
        <w:br/>
        <w:t>• All 50/50 test cases pass with 100% success 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