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328736" w14:textId="77777777" w:rsidR="009409D7" w:rsidRDefault="00000000">
      <w:pPr>
        <w:rPr>
          <w:rFonts w:ascii="Roboto" w:eastAsia="Roboto" w:hAnsi="Roboto" w:cs="Roboto"/>
          <w:color w:val="202124"/>
          <w:sz w:val="24"/>
          <w:szCs w:val="24"/>
          <w:highlight w:val="white"/>
        </w:rPr>
      </w:pPr>
      <w:r>
        <w:rPr>
          <w:rFonts w:ascii="Roboto" w:eastAsia="Roboto" w:hAnsi="Roboto" w:cs="Roboto"/>
          <w:b/>
          <w:color w:val="202124"/>
          <w:sz w:val="24"/>
          <w:szCs w:val="24"/>
          <w:highlight w:val="white"/>
        </w:rPr>
        <w:t>Data Fetching:</w:t>
      </w:r>
      <w:r>
        <w:rPr>
          <w:rFonts w:ascii="Roboto" w:eastAsia="Roboto" w:hAnsi="Roboto" w:cs="Roboto"/>
          <w:color w:val="202124"/>
          <w:sz w:val="24"/>
          <w:szCs w:val="24"/>
          <w:highlight w:val="white"/>
        </w:rPr>
        <w:t xml:space="preserve"> Python</w:t>
      </w:r>
    </w:p>
    <w:p w14:paraId="4B79FC28" w14:textId="77777777" w:rsidR="009409D7" w:rsidRDefault="00000000">
      <w:pPr>
        <w:rPr>
          <w:rFonts w:ascii="Roboto" w:eastAsia="Roboto" w:hAnsi="Roboto" w:cs="Roboto"/>
          <w:color w:val="202124"/>
          <w:sz w:val="24"/>
          <w:szCs w:val="24"/>
          <w:highlight w:val="white"/>
        </w:rPr>
      </w:pPr>
      <w:r>
        <w:rPr>
          <w:rFonts w:ascii="Roboto" w:eastAsia="Roboto" w:hAnsi="Roboto" w:cs="Roboto"/>
          <w:b/>
          <w:color w:val="202124"/>
          <w:sz w:val="24"/>
          <w:szCs w:val="24"/>
          <w:highlight w:val="white"/>
        </w:rPr>
        <w:t xml:space="preserve">Data analysis: </w:t>
      </w:r>
      <w:r>
        <w:rPr>
          <w:rFonts w:ascii="Roboto" w:eastAsia="Roboto" w:hAnsi="Roboto" w:cs="Roboto"/>
          <w:color w:val="202124"/>
          <w:sz w:val="24"/>
          <w:szCs w:val="24"/>
          <w:highlight w:val="white"/>
        </w:rPr>
        <w:t>SQL(MySQL ,Post Gre), R, Tableau</w:t>
      </w:r>
    </w:p>
    <w:p w14:paraId="21CB66B2" w14:textId="77777777" w:rsidR="009409D7" w:rsidRDefault="00000000">
      <w:pPr>
        <w:rPr>
          <w:b/>
          <w:sz w:val="24"/>
          <w:szCs w:val="24"/>
        </w:rPr>
      </w:pPr>
      <w:r>
        <w:rPr>
          <w:rFonts w:ascii="Roboto" w:eastAsia="Roboto" w:hAnsi="Roboto" w:cs="Roboto"/>
          <w:b/>
          <w:color w:val="202124"/>
          <w:sz w:val="24"/>
          <w:szCs w:val="24"/>
          <w:highlight w:val="white"/>
        </w:rPr>
        <w:t>ML</w:t>
      </w:r>
    </w:p>
    <w:p w14:paraId="132F7E2D" w14:textId="77777777" w:rsidR="009409D7" w:rsidRDefault="009409D7">
      <w:pPr>
        <w:rPr>
          <w:b/>
          <w:sz w:val="24"/>
          <w:szCs w:val="24"/>
        </w:rPr>
      </w:pPr>
    </w:p>
    <w:p w14:paraId="20085114" w14:textId="77777777" w:rsidR="009409D7" w:rsidRDefault="00000000">
      <w:pPr>
        <w:rPr>
          <w:b/>
          <w:sz w:val="24"/>
          <w:szCs w:val="24"/>
        </w:rPr>
      </w:pPr>
      <w:r>
        <w:rPr>
          <w:b/>
          <w:sz w:val="24"/>
          <w:szCs w:val="24"/>
        </w:rPr>
        <w:t>Volume</w:t>
      </w:r>
    </w:p>
    <w:p w14:paraId="7A1B1FBD" w14:textId="77777777" w:rsidR="009409D7" w:rsidRDefault="00000000">
      <w:pPr>
        <w:rPr>
          <w:sz w:val="24"/>
          <w:szCs w:val="24"/>
        </w:rPr>
      </w:pPr>
      <w:r>
        <w:rPr>
          <w:sz w:val="24"/>
          <w:szCs w:val="24"/>
        </w:rPr>
        <w:t xml:space="preserve">Volume is an indicator that means the total number of shares that have been bought or sold in a specific period of time. </w:t>
      </w:r>
    </w:p>
    <w:p w14:paraId="7D9D8DB1" w14:textId="77777777" w:rsidR="009409D7" w:rsidRDefault="00000000">
      <w:pPr>
        <w:rPr>
          <w:sz w:val="24"/>
          <w:szCs w:val="24"/>
        </w:rPr>
      </w:pPr>
      <w:r>
        <w:rPr>
          <w:sz w:val="24"/>
          <w:szCs w:val="24"/>
        </w:rPr>
        <w:t>volume in the share market measures market activity and liquidity.</w:t>
      </w:r>
    </w:p>
    <w:p w14:paraId="2051BF35" w14:textId="77777777" w:rsidR="009409D7" w:rsidRDefault="00000000">
      <w:pPr>
        <w:rPr>
          <w:sz w:val="24"/>
          <w:szCs w:val="24"/>
        </w:rPr>
      </w:pPr>
      <w:r>
        <w:rPr>
          <w:sz w:val="24"/>
          <w:szCs w:val="24"/>
        </w:rPr>
        <w:t>Higher volumes indicate more buyers and sellers in the market.</w:t>
      </w:r>
    </w:p>
    <w:p w14:paraId="7B210A20" w14:textId="77777777" w:rsidR="009409D7" w:rsidRDefault="00000000">
      <w:pPr>
        <w:rPr>
          <w:sz w:val="24"/>
          <w:szCs w:val="24"/>
        </w:rPr>
      </w:pPr>
      <w:r>
        <w:rPr>
          <w:sz w:val="24"/>
          <w:szCs w:val="24"/>
        </w:rPr>
        <w:t>Within a single trading session, volumes tend to be higher during the market opening and closing as intraday traders are in a hurry to book and close their positions for the day.</w:t>
      </w:r>
    </w:p>
    <w:p w14:paraId="3D8E5E78" w14:textId="77777777" w:rsidR="009409D7" w:rsidRDefault="00000000">
      <w:pPr>
        <w:rPr>
          <w:sz w:val="24"/>
          <w:szCs w:val="24"/>
        </w:rPr>
      </w:pPr>
      <w:r>
        <w:rPr>
          <w:sz w:val="24"/>
          <w:szCs w:val="24"/>
        </w:rPr>
        <w:t>When prices fall with the stock volume going high it means that the trend is going towards the downside</w:t>
      </w:r>
    </w:p>
    <w:p w14:paraId="19CAEA5A" w14:textId="77777777" w:rsidR="009409D7" w:rsidRDefault="00000000">
      <w:pPr>
        <w:rPr>
          <w:sz w:val="24"/>
          <w:szCs w:val="24"/>
        </w:rPr>
      </w:pPr>
      <w:r>
        <w:rPr>
          <w:sz w:val="24"/>
          <w:szCs w:val="24"/>
        </w:rPr>
        <w:t>if the market prices are going up and the volumes are high too it means that the trend is going towards upside</w:t>
      </w:r>
    </w:p>
    <w:p w14:paraId="188D407C" w14:textId="77777777" w:rsidR="009409D7" w:rsidRDefault="009409D7">
      <w:pPr>
        <w:rPr>
          <w:sz w:val="24"/>
          <w:szCs w:val="24"/>
        </w:rPr>
      </w:pPr>
    </w:p>
    <w:p w14:paraId="7DEF9AF4" w14:textId="77777777" w:rsidR="009409D7" w:rsidRDefault="00000000">
      <w:pPr>
        <w:rPr>
          <w:b/>
          <w:sz w:val="24"/>
          <w:szCs w:val="24"/>
        </w:rPr>
      </w:pPr>
      <w:r>
        <w:rPr>
          <w:b/>
          <w:sz w:val="24"/>
          <w:szCs w:val="24"/>
        </w:rPr>
        <w:t>Dollar Index</w:t>
      </w:r>
    </w:p>
    <w:p w14:paraId="6C186E89" w14:textId="77777777" w:rsidR="009409D7" w:rsidRDefault="00000000">
      <w:pPr>
        <w:rPr>
          <w:sz w:val="24"/>
          <w:szCs w:val="24"/>
        </w:rPr>
      </w:pPr>
      <w:r>
        <w:rPr>
          <w:sz w:val="24"/>
          <w:szCs w:val="24"/>
        </w:rPr>
        <w:t>As the value of the U.S. dollar rises globally, the U.S. stock indexes tend to rise along with it.</w:t>
      </w:r>
    </w:p>
    <w:p w14:paraId="00556D31" w14:textId="77777777" w:rsidR="009409D7" w:rsidRDefault="00000000">
      <w:pPr>
        <w:rPr>
          <w:sz w:val="24"/>
          <w:szCs w:val="24"/>
        </w:rPr>
      </w:pPr>
      <w:r>
        <w:rPr>
          <w:sz w:val="24"/>
          <w:szCs w:val="24"/>
        </w:rPr>
        <w:t>Stock indexes tend to rise along with an increase in the value of U.S. dollar.</w:t>
      </w:r>
    </w:p>
    <w:p w14:paraId="684AA82C" w14:textId="77777777" w:rsidR="009409D7" w:rsidRDefault="00000000">
      <w:pPr>
        <w:rPr>
          <w:sz w:val="24"/>
          <w:szCs w:val="24"/>
        </w:rPr>
      </w:pPr>
      <w:r>
        <w:rPr>
          <w:sz w:val="24"/>
          <w:szCs w:val="24"/>
        </w:rPr>
        <w:t>Companies that rely on imports thrive when U.S. dollar is strong.</w:t>
      </w:r>
    </w:p>
    <w:p w14:paraId="132282BF" w14:textId="77777777" w:rsidR="009409D7" w:rsidRDefault="00000000">
      <w:pPr>
        <w:rPr>
          <w:sz w:val="24"/>
          <w:szCs w:val="24"/>
        </w:rPr>
      </w:pPr>
      <w:r>
        <w:rPr>
          <w:sz w:val="24"/>
          <w:szCs w:val="24"/>
        </w:rPr>
        <w:t>Companies that sell their products globally thrive when U.S. dollar is weak.</w:t>
      </w:r>
    </w:p>
    <w:p w14:paraId="2DFE8452" w14:textId="77777777" w:rsidR="009409D7" w:rsidRDefault="009409D7">
      <w:pPr>
        <w:rPr>
          <w:sz w:val="24"/>
          <w:szCs w:val="24"/>
        </w:rPr>
      </w:pPr>
    </w:p>
    <w:p w14:paraId="18271AB4" w14:textId="77777777" w:rsidR="009409D7" w:rsidRDefault="00000000">
      <w:pPr>
        <w:rPr>
          <w:sz w:val="24"/>
          <w:szCs w:val="24"/>
        </w:rPr>
      </w:pPr>
      <w:r>
        <w:rPr>
          <w:sz w:val="24"/>
          <w:szCs w:val="24"/>
        </w:rPr>
        <w:t>Bond deal</w:t>
      </w:r>
    </w:p>
    <w:p w14:paraId="2F3827DC" w14:textId="77777777" w:rsidR="009409D7" w:rsidRDefault="00000000">
      <w:pPr>
        <w:rPr>
          <w:sz w:val="24"/>
          <w:szCs w:val="24"/>
        </w:rPr>
      </w:pPr>
      <w:r>
        <w:rPr>
          <w:sz w:val="24"/>
          <w:szCs w:val="24"/>
        </w:rPr>
        <w:t>News</w:t>
      </w:r>
    </w:p>
    <w:p w14:paraId="185DECCE" w14:textId="77777777" w:rsidR="009409D7" w:rsidRDefault="00000000">
      <w:pPr>
        <w:rPr>
          <w:sz w:val="24"/>
          <w:szCs w:val="24"/>
        </w:rPr>
      </w:pPr>
      <w:r>
        <w:rPr>
          <w:sz w:val="24"/>
          <w:szCs w:val="24"/>
        </w:rPr>
        <w:t>Buy Back</w:t>
      </w:r>
    </w:p>
    <w:p w14:paraId="6652520E" w14:textId="77777777" w:rsidR="009409D7" w:rsidRDefault="00000000">
      <w:pPr>
        <w:rPr>
          <w:sz w:val="24"/>
          <w:szCs w:val="24"/>
        </w:rPr>
      </w:pPr>
      <w:r>
        <w:rPr>
          <w:sz w:val="24"/>
          <w:szCs w:val="24"/>
        </w:rPr>
        <w:t>Trend - Dow, Nasdaq, FTSE, SGX</w:t>
      </w:r>
    </w:p>
    <w:p w14:paraId="7F22DE44" w14:textId="77777777" w:rsidR="009409D7" w:rsidRDefault="00000000">
      <w:pPr>
        <w:rPr>
          <w:sz w:val="24"/>
          <w:szCs w:val="24"/>
        </w:rPr>
      </w:pPr>
      <w:r>
        <w:rPr>
          <w:sz w:val="24"/>
          <w:szCs w:val="24"/>
        </w:rPr>
        <w:t>Fed. ECB, RBI Policy</w:t>
      </w:r>
    </w:p>
    <w:p w14:paraId="77B5C837" w14:textId="77777777" w:rsidR="009409D7" w:rsidRDefault="00000000">
      <w:pPr>
        <w:rPr>
          <w:sz w:val="24"/>
          <w:szCs w:val="24"/>
        </w:rPr>
      </w:pPr>
      <w:r>
        <w:rPr>
          <w:sz w:val="24"/>
          <w:szCs w:val="24"/>
        </w:rPr>
        <w:t>Beta</w:t>
      </w:r>
    </w:p>
    <w:p w14:paraId="13CEED61" w14:textId="77777777" w:rsidR="009409D7" w:rsidRDefault="00000000">
      <w:pPr>
        <w:rPr>
          <w:sz w:val="24"/>
          <w:szCs w:val="24"/>
        </w:rPr>
      </w:pPr>
      <w:r>
        <w:rPr>
          <w:sz w:val="24"/>
          <w:szCs w:val="24"/>
        </w:rPr>
        <w:t>Indicator</w:t>
      </w:r>
    </w:p>
    <w:p w14:paraId="04755E69" w14:textId="77777777" w:rsidR="009409D7" w:rsidRDefault="00000000">
      <w:pPr>
        <w:rPr>
          <w:sz w:val="24"/>
          <w:szCs w:val="24"/>
        </w:rPr>
      </w:pPr>
      <w:r>
        <w:rPr>
          <w:sz w:val="24"/>
          <w:szCs w:val="24"/>
        </w:rPr>
        <w:t>Break out</w:t>
      </w:r>
    </w:p>
    <w:p w14:paraId="25B39027" w14:textId="77777777" w:rsidR="009409D7" w:rsidRDefault="00000000">
      <w:pPr>
        <w:rPr>
          <w:sz w:val="24"/>
          <w:szCs w:val="24"/>
        </w:rPr>
      </w:pPr>
      <w:r>
        <w:rPr>
          <w:sz w:val="24"/>
          <w:szCs w:val="24"/>
        </w:rPr>
        <w:t>Crude oil, Natural Gas (Paint, Chemicals)</w:t>
      </w:r>
    </w:p>
    <w:p w14:paraId="74ADEFDF" w14:textId="77777777" w:rsidR="009409D7" w:rsidRDefault="00000000">
      <w:pPr>
        <w:rPr>
          <w:sz w:val="24"/>
          <w:szCs w:val="24"/>
        </w:rPr>
      </w:pPr>
      <w:r>
        <w:rPr>
          <w:sz w:val="24"/>
          <w:szCs w:val="24"/>
        </w:rPr>
        <w:t>Quarterly Result</w:t>
      </w:r>
    </w:p>
    <w:p w14:paraId="4FD837B2" w14:textId="77777777" w:rsidR="009409D7" w:rsidRDefault="009409D7">
      <w:pPr>
        <w:rPr>
          <w:sz w:val="24"/>
          <w:szCs w:val="24"/>
        </w:rPr>
      </w:pPr>
    </w:p>
    <w:p w14:paraId="34DD80E8" w14:textId="77777777" w:rsidR="009409D7" w:rsidRDefault="009409D7">
      <w:pPr>
        <w:rPr>
          <w:sz w:val="24"/>
          <w:szCs w:val="24"/>
        </w:rPr>
      </w:pPr>
    </w:p>
    <w:p w14:paraId="30A70492" w14:textId="77777777" w:rsidR="009409D7" w:rsidRDefault="009409D7">
      <w:pPr>
        <w:rPr>
          <w:sz w:val="24"/>
          <w:szCs w:val="24"/>
        </w:rPr>
      </w:pPr>
    </w:p>
    <w:p w14:paraId="12672909" w14:textId="77777777" w:rsidR="009409D7" w:rsidRDefault="009409D7">
      <w:pPr>
        <w:rPr>
          <w:sz w:val="24"/>
          <w:szCs w:val="24"/>
        </w:rPr>
      </w:pPr>
    </w:p>
    <w:p w14:paraId="1A9E0980" w14:textId="77777777" w:rsidR="009409D7" w:rsidRDefault="009409D7">
      <w:pPr>
        <w:rPr>
          <w:sz w:val="24"/>
          <w:szCs w:val="24"/>
        </w:rPr>
      </w:pPr>
    </w:p>
    <w:p w14:paraId="3BDF3510" w14:textId="77777777" w:rsidR="009409D7" w:rsidRDefault="009409D7">
      <w:pPr>
        <w:rPr>
          <w:sz w:val="24"/>
          <w:szCs w:val="24"/>
        </w:rPr>
      </w:pPr>
    </w:p>
    <w:p w14:paraId="7D037E2D" w14:textId="77777777" w:rsidR="009409D7" w:rsidRDefault="009409D7">
      <w:pPr>
        <w:rPr>
          <w:sz w:val="24"/>
          <w:szCs w:val="24"/>
        </w:rPr>
      </w:pPr>
    </w:p>
    <w:p w14:paraId="0A0C7C9C" w14:textId="77777777" w:rsidR="009409D7" w:rsidRDefault="009409D7">
      <w:pPr>
        <w:rPr>
          <w:sz w:val="24"/>
          <w:szCs w:val="24"/>
        </w:rPr>
      </w:pPr>
    </w:p>
    <w:p w14:paraId="1C1534AE" w14:textId="77777777" w:rsidR="009409D7" w:rsidRDefault="009409D7">
      <w:pPr>
        <w:rPr>
          <w:sz w:val="24"/>
          <w:szCs w:val="24"/>
        </w:rPr>
      </w:pPr>
    </w:p>
    <w:p w14:paraId="7492C00A" w14:textId="77777777" w:rsidR="009409D7" w:rsidRDefault="009409D7">
      <w:pPr>
        <w:rPr>
          <w:sz w:val="24"/>
          <w:szCs w:val="24"/>
        </w:rPr>
      </w:pPr>
    </w:p>
    <w:p w14:paraId="3CDE2EC1" w14:textId="77777777" w:rsidR="009409D7" w:rsidRDefault="009409D7">
      <w:pPr>
        <w:rPr>
          <w:sz w:val="24"/>
          <w:szCs w:val="24"/>
        </w:rPr>
      </w:pPr>
    </w:p>
    <w:p w14:paraId="32B463FA" w14:textId="77777777" w:rsidR="009409D7" w:rsidRDefault="009409D7">
      <w:pPr>
        <w:rPr>
          <w:sz w:val="24"/>
          <w:szCs w:val="24"/>
        </w:rPr>
      </w:pPr>
    </w:p>
    <w:p w14:paraId="4D6C3AB2" w14:textId="77777777" w:rsidR="009409D7" w:rsidRDefault="009409D7">
      <w:pPr>
        <w:rPr>
          <w:sz w:val="24"/>
          <w:szCs w:val="24"/>
        </w:rPr>
      </w:pPr>
    </w:p>
    <w:p w14:paraId="4C14A670" w14:textId="77777777" w:rsidR="009409D7" w:rsidRDefault="009409D7">
      <w:pPr>
        <w:rPr>
          <w:sz w:val="24"/>
          <w:szCs w:val="24"/>
        </w:rPr>
      </w:pPr>
    </w:p>
    <w:p w14:paraId="4F42067B" w14:textId="77777777" w:rsidR="009409D7" w:rsidRDefault="009409D7">
      <w:pPr>
        <w:rPr>
          <w:sz w:val="24"/>
          <w:szCs w:val="24"/>
        </w:rPr>
      </w:pPr>
    </w:p>
    <w:p w14:paraId="32FF76D3" w14:textId="77777777" w:rsidR="009409D7" w:rsidRDefault="009409D7">
      <w:pPr>
        <w:rPr>
          <w:sz w:val="24"/>
          <w:szCs w:val="24"/>
        </w:rPr>
      </w:pPr>
    </w:p>
    <w:p w14:paraId="0D7E43D6" w14:textId="77777777" w:rsidR="009409D7" w:rsidRDefault="00000000">
      <w:pPr>
        <w:rPr>
          <w:b/>
          <w:sz w:val="28"/>
          <w:szCs w:val="28"/>
          <w:u w:val="single"/>
        </w:rPr>
      </w:pPr>
      <w:r>
        <w:rPr>
          <w:b/>
          <w:sz w:val="28"/>
          <w:szCs w:val="28"/>
          <w:u w:val="single"/>
        </w:rPr>
        <w:lastRenderedPageBreak/>
        <w:t>Bond Deal</w:t>
      </w:r>
    </w:p>
    <w:p w14:paraId="3FFD31A6" w14:textId="77777777" w:rsidR="009409D7" w:rsidRDefault="009409D7">
      <w:pPr>
        <w:rPr>
          <w:sz w:val="28"/>
          <w:szCs w:val="28"/>
        </w:rPr>
      </w:pPr>
    </w:p>
    <w:p w14:paraId="6F667D07" w14:textId="77777777" w:rsidR="009409D7" w:rsidRDefault="00000000">
      <w:pPr>
        <w:rPr>
          <w:b/>
          <w:sz w:val="24"/>
          <w:szCs w:val="24"/>
        </w:rPr>
      </w:pPr>
      <w:r>
        <w:rPr>
          <w:b/>
          <w:sz w:val="24"/>
          <w:szCs w:val="24"/>
        </w:rPr>
        <w:t>What is a bond?</w:t>
      </w:r>
    </w:p>
    <w:p w14:paraId="49D75992" w14:textId="77777777" w:rsidR="009409D7" w:rsidRDefault="00000000">
      <w:pPr>
        <w:jc w:val="both"/>
        <w:rPr>
          <w:sz w:val="24"/>
          <w:szCs w:val="24"/>
        </w:rPr>
      </w:pPr>
      <w:r>
        <w:rPr>
          <w:sz w:val="24"/>
          <w:szCs w:val="24"/>
        </w:rPr>
        <w:t>A bond is simply a loan taken out by a company. Instead of going to a bank, the company gets the money from investors who buy its bonds. In exchange for the capital, the company pays an interest coupon, which is the annual interest rate paid on a bond expressed as a percentage of the face value. The company pays the interest at predetermined intervals (usually annually or semiannually) and returns the principal on the maturity date, ending the loan.</w:t>
      </w:r>
    </w:p>
    <w:p w14:paraId="659422C2" w14:textId="77777777" w:rsidR="009409D7" w:rsidRDefault="009409D7">
      <w:pPr>
        <w:jc w:val="both"/>
        <w:rPr>
          <w:sz w:val="24"/>
          <w:szCs w:val="24"/>
        </w:rPr>
      </w:pPr>
    </w:p>
    <w:p w14:paraId="7F065BD1" w14:textId="77777777" w:rsidR="009409D7" w:rsidRDefault="00000000">
      <w:pPr>
        <w:jc w:val="both"/>
        <w:rPr>
          <w:sz w:val="24"/>
          <w:szCs w:val="24"/>
        </w:rPr>
      </w:pPr>
      <w:r>
        <w:rPr>
          <w:sz w:val="24"/>
          <w:szCs w:val="24"/>
        </w:rPr>
        <w:t xml:space="preserve">Unlike stocks, bonds can vary significantly based on the terms of its indenture, a legal document outlining the characteristics of the bond. Because each bond issue is different, it is important to understand the precise terms before investing. In particular, there are </w:t>
      </w:r>
      <w:r>
        <w:rPr>
          <w:b/>
          <w:sz w:val="24"/>
          <w:szCs w:val="24"/>
        </w:rPr>
        <w:t>six important features t</w:t>
      </w:r>
      <w:r>
        <w:rPr>
          <w:sz w:val="24"/>
          <w:szCs w:val="24"/>
        </w:rPr>
        <w:t>o look for when considering a bond.</w:t>
      </w:r>
    </w:p>
    <w:p w14:paraId="31FD5DFB" w14:textId="77777777" w:rsidR="009409D7" w:rsidRDefault="009409D7">
      <w:pPr>
        <w:jc w:val="both"/>
        <w:rPr>
          <w:sz w:val="24"/>
          <w:szCs w:val="24"/>
        </w:rPr>
      </w:pPr>
    </w:p>
    <w:p w14:paraId="600B462A" w14:textId="77777777" w:rsidR="009409D7" w:rsidRDefault="00000000">
      <w:pPr>
        <w:numPr>
          <w:ilvl w:val="0"/>
          <w:numId w:val="1"/>
        </w:numPr>
        <w:ind w:left="360"/>
        <w:jc w:val="both"/>
        <w:rPr>
          <w:b/>
          <w:sz w:val="24"/>
          <w:szCs w:val="24"/>
        </w:rPr>
      </w:pPr>
      <w:r>
        <w:rPr>
          <w:b/>
          <w:sz w:val="24"/>
          <w:szCs w:val="24"/>
        </w:rPr>
        <w:t>Maturity</w:t>
      </w:r>
    </w:p>
    <w:p w14:paraId="2B8FAD40" w14:textId="77777777" w:rsidR="009409D7" w:rsidRDefault="00000000">
      <w:pPr>
        <w:numPr>
          <w:ilvl w:val="0"/>
          <w:numId w:val="2"/>
        </w:numPr>
        <w:jc w:val="both"/>
        <w:rPr>
          <w:sz w:val="24"/>
          <w:szCs w:val="24"/>
        </w:rPr>
      </w:pPr>
      <w:r>
        <w:rPr>
          <w:b/>
          <w:sz w:val="24"/>
          <w:szCs w:val="24"/>
        </w:rPr>
        <w:t>Short-term:</w:t>
      </w:r>
      <w:r>
        <w:rPr>
          <w:sz w:val="24"/>
          <w:szCs w:val="24"/>
        </w:rPr>
        <w:t xml:space="preserve"> Bonds that fall into this category tend to mature within one to three years</w:t>
      </w:r>
    </w:p>
    <w:p w14:paraId="41F62A9F" w14:textId="77777777" w:rsidR="009409D7" w:rsidRDefault="00000000">
      <w:pPr>
        <w:numPr>
          <w:ilvl w:val="0"/>
          <w:numId w:val="2"/>
        </w:numPr>
        <w:jc w:val="both"/>
        <w:rPr>
          <w:sz w:val="24"/>
          <w:szCs w:val="24"/>
        </w:rPr>
      </w:pPr>
      <w:r>
        <w:rPr>
          <w:b/>
          <w:sz w:val="24"/>
          <w:szCs w:val="24"/>
        </w:rPr>
        <w:t>Medium-term:</w:t>
      </w:r>
      <w:r>
        <w:rPr>
          <w:sz w:val="24"/>
          <w:szCs w:val="24"/>
        </w:rPr>
        <w:t xml:space="preserve"> Maturity dates for these types of bonds are normally over ten years</w:t>
      </w:r>
    </w:p>
    <w:p w14:paraId="1BCDDC59" w14:textId="77777777" w:rsidR="009409D7" w:rsidRDefault="00000000">
      <w:pPr>
        <w:numPr>
          <w:ilvl w:val="0"/>
          <w:numId w:val="2"/>
        </w:numPr>
        <w:jc w:val="both"/>
        <w:rPr>
          <w:sz w:val="24"/>
          <w:szCs w:val="24"/>
        </w:rPr>
      </w:pPr>
      <w:r>
        <w:rPr>
          <w:b/>
          <w:sz w:val="24"/>
          <w:szCs w:val="24"/>
        </w:rPr>
        <w:t>Long-term</w:t>
      </w:r>
      <w:r>
        <w:rPr>
          <w:sz w:val="24"/>
          <w:szCs w:val="24"/>
        </w:rPr>
        <w:t>: These bonds generally mature over longer periods of time</w:t>
      </w:r>
    </w:p>
    <w:p w14:paraId="438AF9DB" w14:textId="77777777" w:rsidR="009409D7" w:rsidRDefault="00000000">
      <w:pPr>
        <w:numPr>
          <w:ilvl w:val="0"/>
          <w:numId w:val="1"/>
        </w:numPr>
        <w:ind w:left="360"/>
        <w:jc w:val="both"/>
        <w:rPr>
          <w:b/>
          <w:sz w:val="24"/>
          <w:szCs w:val="24"/>
        </w:rPr>
      </w:pPr>
      <w:r>
        <w:rPr>
          <w:b/>
          <w:sz w:val="24"/>
          <w:szCs w:val="24"/>
        </w:rPr>
        <w:t>Secured/Unsecured Bond</w:t>
      </w:r>
    </w:p>
    <w:p w14:paraId="45A010E3" w14:textId="77777777" w:rsidR="009409D7" w:rsidRDefault="00000000">
      <w:pPr>
        <w:numPr>
          <w:ilvl w:val="0"/>
          <w:numId w:val="1"/>
        </w:numPr>
        <w:ind w:left="360"/>
        <w:jc w:val="both"/>
        <w:rPr>
          <w:b/>
          <w:sz w:val="24"/>
          <w:szCs w:val="24"/>
        </w:rPr>
      </w:pPr>
      <w:r>
        <w:rPr>
          <w:b/>
          <w:sz w:val="24"/>
          <w:szCs w:val="24"/>
        </w:rPr>
        <w:t>Liquidation Preference</w:t>
      </w:r>
    </w:p>
    <w:p w14:paraId="28B4B580" w14:textId="77777777" w:rsidR="009409D7" w:rsidRDefault="00000000">
      <w:pPr>
        <w:numPr>
          <w:ilvl w:val="0"/>
          <w:numId w:val="1"/>
        </w:numPr>
        <w:ind w:left="360"/>
        <w:jc w:val="both"/>
        <w:rPr>
          <w:b/>
          <w:sz w:val="24"/>
          <w:szCs w:val="24"/>
        </w:rPr>
      </w:pPr>
      <w:r>
        <w:rPr>
          <w:b/>
          <w:sz w:val="24"/>
          <w:szCs w:val="24"/>
        </w:rPr>
        <w:t>Coupon</w:t>
      </w:r>
    </w:p>
    <w:p w14:paraId="37A3AB98" w14:textId="77777777" w:rsidR="009409D7" w:rsidRDefault="00000000">
      <w:pPr>
        <w:numPr>
          <w:ilvl w:val="0"/>
          <w:numId w:val="1"/>
        </w:numPr>
        <w:ind w:left="360"/>
        <w:jc w:val="both"/>
        <w:rPr>
          <w:b/>
          <w:sz w:val="24"/>
          <w:szCs w:val="24"/>
        </w:rPr>
      </w:pPr>
      <w:r>
        <w:rPr>
          <w:b/>
          <w:sz w:val="24"/>
          <w:szCs w:val="24"/>
        </w:rPr>
        <w:t>Tax Status</w:t>
      </w:r>
    </w:p>
    <w:p w14:paraId="1CFAB39F" w14:textId="77777777" w:rsidR="009409D7" w:rsidRDefault="00000000">
      <w:pPr>
        <w:numPr>
          <w:ilvl w:val="0"/>
          <w:numId w:val="1"/>
        </w:numPr>
        <w:ind w:left="360"/>
        <w:jc w:val="both"/>
        <w:rPr>
          <w:b/>
          <w:sz w:val="24"/>
          <w:szCs w:val="24"/>
        </w:rPr>
      </w:pPr>
      <w:r>
        <w:rPr>
          <w:b/>
          <w:sz w:val="24"/>
          <w:szCs w:val="24"/>
        </w:rPr>
        <w:t>Callability</w:t>
      </w:r>
    </w:p>
    <w:p w14:paraId="58C9A697" w14:textId="77777777" w:rsidR="009409D7" w:rsidRDefault="009409D7">
      <w:pPr>
        <w:jc w:val="both"/>
        <w:rPr>
          <w:sz w:val="24"/>
          <w:szCs w:val="24"/>
        </w:rPr>
      </w:pPr>
    </w:p>
    <w:p w14:paraId="4B08C1CD" w14:textId="77777777" w:rsidR="009409D7" w:rsidRDefault="009409D7">
      <w:pPr>
        <w:rPr>
          <w:sz w:val="28"/>
          <w:szCs w:val="28"/>
        </w:rPr>
      </w:pPr>
    </w:p>
    <w:p w14:paraId="29FFB23C" w14:textId="77777777" w:rsidR="009409D7" w:rsidRDefault="009409D7">
      <w:pPr>
        <w:rPr>
          <w:sz w:val="24"/>
          <w:szCs w:val="24"/>
        </w:rPr>
      </w:pPr>
    </w:p>
    <w:p w14:paraId="51657CB1" w14:textId="77777777" w:rsidR="009409D7" w:rsidRDefault="009409D7">
      <w:pPr>
        <w:rPr>
          <w:sz w:val="24"/>
          <w:szCs w:val="24"/>
        </w:rPr>
      </w:pPr>
    </w:p>
    <w:p w14:paraId="3D6D646C" w14:textId="77777777" w:rsidR="009409D7" w:rsidRDefault="009409D7">
      <w:pPr>
        <w:rPr>
          <w:sz w:val="24"/>
          <w:szCs w:val="24"/>
        </w:rPr>
      </w:pPr>
    </w:p>
    <w:p w14:paraId="28B26013" w14:textId="77777777" w:rsidR="009409D7" w:rsidRDefault="009409D7">
      <w:pPr>
        <w:rPr>
          <w:sz w:val="24"/>
          <w:szCs w:val="24"/>
        </w:rPr>
      </w:pPr>
    </w:p>
    <w:p w14:paraId="5E1C6E66" w14:textId="77777777" w:rsidR="009409D7" w:rsidRDefault="009409D7">
      <w:pPr>
        <w:rPr>
          <w:sz w:val="24"/>
          <w:szCs w:val="24"/>
        </w:rPr>
      </w:pPr>
    </w:p>
    <w:p w14:paraId="03C4336C" w14:textId="77777777" w:rsidR="009409D7" w:rsidRDefault="009409D7">
      <w:pPr>
        <w:rPr>
          <w:sz w:val="24"/>
          <w:szCs w:val="24"/>
        </w:rPr>
      </w:pPr>
    </w:p>
    <w:p w14:paraId="18F56D16" w14:textId="77777777" w:rsidR="009409D7" w:rsidRDefault="009409D7">
      <w:pPr>
        <w:rPr>
          <w:sz w:val="24"/>
          <w:szCs w:val="24"/>
        </w:rPr>
      </w:pPr>
    </w:p>
    <w:p w14:paraId="1A6696F9" w14:textId="77777777" w:rsidR="009409D7" w:rsidRDefault="009409D7">
      <w:pPr>
        <w:rPr>
          <w:sz w:val="24"/>
          <w:szCs w:val="24"/>
        </w:rPr>
      </w:pPr>
    </w:p>
    <w:p w14:paraId="6CBA87DA" w14:textId="77777777" w:rsidR="009409D7" w:rsidRDefault="009409D7">
      <w:pPr>
        <w:rPr>
          <w:sz w:val="24"/>
          <w:szCs w:val="24"/>
        </w:rPr>
      </w:pPr>
    </w:p>
    <w:p w14:paraId="4AFA9547" w14:textId="77777777" w:rsidR="009409D7" w:rsidRDefault="009409D7">
      <w:pPr>
        <w:rPr>
          <w:sz w:val="24"/>
          <w:szCs w:val="24"/>
        </w:rPr>
      </w:pPr>
    </w:p>
    <w:p w14:paraId="0A3DB1F8" w14:textId="77777777" w:rsidR="009409D7" w:rsidRDefault="009409D7">
      <w:pPr>
        <w:rPr>
          <w:sz w:val="24"/>
          <w:szCs w:val="24"/>
        </w:rPr>
      </w:pPr>
    </w:p>
    <w:p w14:paraId="7BE11D27" w14:textId="77777777" w:rsidR="009409D7" w:rsidRDefault="009409D7">
      <w:pPr>
        <w:rPr>
          <w:sz w:val="24"/>
          <w:szCs w:val="24"/>
        </w:rPr>
      </w:pPr>
    </w:p>
    <w:p w14:paraId="06286BDD" w14:textId="77777777" w:rsidR="009409D7" w:rsidRDefault="009409D7">
      <w:pPr>
        <w:rPr>
          <w:sz w:val="24"/>
          <w:szCs w:val="24"/>
        </w:rPr>
      </w:pPr>
    </w:p>
    <w:p w14:paraId="57BEB927" w14:textId="77777777" w:rsidR="009409D7" w:rsidRDefault="009409D7">
      <w:pPr>
        <w:rPr>
          <w:sz w:val="24"/>
          <w:szCs w:val="24"/>
        </w:rPr>
      </w:pPr>
    </w:p>
    <w:p w14:paraId="4AD1EC07" w14:textId="77777777" w:rsidR="009409D7" w:rsidRDefault="009409D7">
      <w:pPr>
        <w:rPr>
          <w:sz w:val="24"/>
          <w:szCs w:val="24"/>
        </w:rPr>
      </w:pPr>
    </w:p>
    <w:p w14:paraId="7258A0BB" w14:textId="77777777" w:rsidR="009409D7" w:rsidRDefault="009409D7">
      <w:pPr>
        <w:rPr>
          <w:sz w:val="24"/>
          <w:szCs w:val="24"/>
        </w:rPr>
      </w:pPr>
    </w:p>
    <w:p w14:paraId="4D1B1E1E" w14:textId="77777777" w:rsidR="009409D7" w:rsidRDefault="009409D7">
      <w:pPr>
        <w:rPr>
          <w:sz w:val="24"/>
          <w:szCs w:val="24"/>
        </w:rPr>
      </w:pPr>
    </w:p>
    <w:p w14:paraId="245F4C3A" w14:textId="77777777" w:rsidR="009409D7" w:rsidRDefault="009409D7">
      <w:pPr>
        <w:rPr>
          <w:sz w:val="24"/>
          <w:szCs w:val="24"/>
        </w:rPr>
      </w:pPr>
    </w:p>
    <w:p w14:paraId="76FC130D" w14:textId="77777777" w:rsidR="009409D7" w:rsidRDefault="009409D7">
      <w:pPr>
        <w:rPr>
          <w:sz w:val="24"/>
          <w:szCs w:val="24"/>
        </w:rPr>
      </w:pPr>
    </w:p>
    <w:p w14:paraId="3F73CC97" w14:textId="77777777" w:rsidR="009409D7" w:rsidRDefault="009409D7">
      <w:pPr>
        <w:rPr>
          <w:sz w:val="24"/>
          <w:szCs w:val="24"/>
        </w:rPr>
      </w:pPr>
    </w:p>
    <w:p w14:paraId="587C81DD" w14:textId="77777777" w:rsidR="009409D7" w:rsidRDefault="009409D7">
      <w:pPr>
        <w:rPr>
          <w:sz w:val="24"/>
          <w:szCs w:val="24"/>
        </w:rPr>
      </w:pPr>
    </w:p>
    <w:p w14:paraId="3B8EE04A" w14:textId="77777777" w:rsidR="009409D7" w:rsidRDefault="009409D7">
      <w:pPr>
        <w:rPr>
          <w:sz w:val="24"/>
          <w:szCs w:val="24"/>
        </w:rPr>
      </w:pPr>
    </w:p>
    <w:p w14:paraId="733F4B06" w14:textId="77777777" w:rsidR="009409D7" w:rsidRDefault="00000000">
      <w:pPr>
        <w:rPr>
          <w:b/>
          <w:sz w:val="32"/>
          <w:szCs w:val="32"/>
          <w:u w:val="single"/>
        </w:rPr>
      </w:pPr>
      <w:r>
        <w:rPr>
          <w:b/>
          <w:sz w:val="32"/>
          <w:szCs w:val="32"/>
          <w:u w:val="single"/>
        </w:rPr>
        <w:lastRenderedPageBreak/>
        <w:t>Stock Market Exchanges in India</w:t>
      </w:r>
    </w:p>
    <w:p w14:paraId="5E2E24B5" w14:textId="77777777" w:rsidR="009409D7" w:rsidRDefault="009409D7">
      <w:pPr>
        <w:rPr>
          <w:sz w:val="32"/>
          <w:szCs w:val="32"/>
        </w:rPr>
      </w:pPr>
    </w:p>
    <w:p w14:paraId="2B431397" w14:textId="77777777" w:rsidR="009409D7" w:rsidRDefault="00000000">
      <w:pPr>
        <w:rPr>
          <w:b/>
          <w:sz w:val="32"/>
          <w:szCs w:val="32"/>
          <w:u w:val="single"/>
        </w:rPr>
      </w:pPr>
      <w:r>
        <w:rPr>
          <w:b/>
          <w:sz w:val="32"/>
          <w:szCs w:val="32"/>
          <w:u w:val="single"/>
        </w:rPr>
        <w:t>1.Bombay Stock Exchange(BSE) - Mumbai</w:t>
      </w:r>
    </w:p>
    <w:p w14:paraId="4753478B" w14:textId="77777777" w:rsidR="009409D7" w:rsidRDefault="009409D7">
      <w:pPr>
        <w:ind w:left="720"/>
        <w:rPr>
          <w:b/>
          <w:sz w:val="32"/>
          <w:szCs w:val="32"/>
          <w:u w:val="single"/>
        </w:rPr>
      </w:pPr>
    </w:p>
    <w:p w14:paraId="60EC8878" w14:textId="77777777" w:rsidR="009409D7" w:rsidRDefault="00000000">
      <w:pPr>
        <w:rPr>
          <w:color w:val="2F3335"/>
          <w:sz w:val="21"/>
          <w:szCs w:val="21"/>
        </w:rPr>
      </w:pPr>
      <w:r>
        <w:rPr>
          <w:b/>
          <w:color w:val="2F3335"/>
          <w:sz w:val="21"/>
          <w:szCs w:val="21"/>
        </w:rPr>
        <w:t>BSE Limited</w:t>
      </w:r>
      <w:r>
        <w:rPr>
          <w:color w:val="2F3335"/>
          <w:sz w:val="21"/>
          <w:szCs w:val="21"/>
        </w:rPr>
        <w:t xml:space="preserve">, also known as the </w:t>
      </w:r>
      <w:r>
        <w:rPr>
          <w:b/>
          <w:color w:val="2F3335"/>
          <w:sz w:val="21"/>
          <w:szCs w:val="21"/>
        </w:rPr>
        <w:t>Bombay Stock Exchange</w:t>
      </w:r>
      <w:r>
        <w:rPr>
          <w:color w:val="2F3335"/>
          <w:sz w:val="21"/>
          <w:szCs w:val="21"/>
        </w:rPr>
        <w:t xml:space="preserve"> (</w:t>
      </w:r>
      <w:r>
        <w:rPr>
          <w:b/>
          <w:color w:val="2F3335"/>
          <w:sz w:val="21"/>
          <w:szCs w:val="21"/>
        </w:rPr>
        <w:t>BSE</w:t>
      </w:r>
      <w:r>
        <w:rPr>
          <w:color w:val="2F3335"/>
          <w:sz w:val="21"/>
          <w:szCs w:val="21"/>
        </w:rPr>
        <w:t xml:space="preserve">), is an Indian </w:t>
      </w:r>
      <w:hyperlink r:id="rId7">
        <w:r>
          <w:rPr>
            <w:color w:val="3D65B6"/>
            <w:sz w:val="21"/>
            <w:szCs w:val="21"/>
          </w:rPr>
          <w:t>stock exchange</w:t>
        </w:r>
      </w:hyperlink>
      <w:r>
        <w:rPr>
          <w:color w:val="2F3335"/>
          <w:sz w:val="21"/>
          <w:szCs w:val="21"/>
        </w:rPr>
        <w:t xml:space="preserve"> which is located on </w:t>
      </w:r>
      <w:hyperlink r:id="rId8">
        <w:r>
          <w:rPr>
            <w:color w:val="3D65B6"/>
            <w:sz w:val="21"/>
            <w:szCs w:val="21"/>
          </w:rPr>
          <w:t>Dalal Street</w:t>
        </w:r>
      </w:hyperlink>
      <w:r>
        <w:rPr>
          <w:color w:val="2F3335"/>
          <w:sz w:val="21"/>
          <w:szCs w:val="21"/>
        </w:rPr>
        <w:t xml:space="preserve"> in </w:t>
      </w:r>
      <w:hyperlink r:id="rId9">
        <w:r>
          <w:rPr>
            <w:color w:val="3D65B6"/>
            <w:sz w:val="21"/>
            <w:szCs w:val="21"/>
          </w:rPr>
          <w:t>Mumbai</w:t>
        </w:r>
      </w:hyperlink>
      <w:r>
        <w:rPr>
          <w:color w:val="2F3335"/>
          <w:sz w:val="21"/>
          <w:szCs w:val="21"/>
        </w:rPr>
        <w:t>.</w:t>
      </w:r>
      <w:hyperlink r:id="rId10" w:anchor="cite_note-bseindia.com-6">
        <w:r>
          <w:rPr>
            <w:color w:val="3D65B6"/>
            <w:sz w:val="28"/>
            <w:szCs w:val="28"/>
            <w:vertAlign w:val="superscript"/>
          </w:rPr>
          <w:t>]</w:t>
        </w:r>
      </w:hyperlink>
      <w:r>
        <w:rPr>
          <w:color w:val="2F3335"/>
          <w:sz w:val="21"/>
          <w:szCs w:val="21"/>
        </w:rPr>
        <w:t xml:space="preserve">It is the oldest stock exchange in </w:t>
      </w:r>
      <w:hyperlink r:id="rId11">
        <w:r>
          <w:rPr>
            <w:color w:val="3D65B6"/>
            <w:sz w:val="21"/>
            <w:szCs w:val="21"/>
          </w:rPr>
          <w:t>Asia</w:t>
        </w:r>
      </w:hyperlink>
      <w:r>
        <w:rPr>
          <w:color w:val="2F3335"/>
          <w:sz w:val="21"/>
          <w:szCs w:val="21"/>
        </w:rPr>
        <w:t>,</w:t>
      </w:r>
      <w:hyperlink r:id="rId12" w:anchor="cite_note-Rawal2015-7">
        <w:r>
          <w:rPr>
            <w:color w:val="3D65B6"/>
            <w:sz w:val="28"/>
            <w:szCs w:val="28"/>
            <w:vertAlign w:val="superscript"/>
          </w:rPr>
          <w:t>[7]</w:t>
        </w:r>
      </w:hyperlink>
      <w:r>
        <w:rPr>
          <w:color w:val="2F3335"/>
          <w:sz w:val="21"/>
          <w:szCs w:val="21"/>
        </w:rPr>
        <w:t xml:space="preserve"> and also the tenth oldest in the world.</w:t>
      </w:r>
      <w:hyperlink r:id="rId13" w:anchor="cite_note-8">
        <w:r>
          <w:rPr>
            <w:color w:val="3D65B6"/>
            <w:sz w:val="28"/>
            <w:szCs w:val="28"/>
            <w:vertAlign w:val="superscript"/>
          </w:rPr>
          <w:t>[8]</w:t>
        </w:r>
      </w:hyperlink>
      <w:r>
        <w:rPr>
          <w:color w:val="2F3335"/>
          <w:sz w:val="21"/>
          <w:szCs w:val="21"/>
        </w:rPr>
        <w:t xml:space="preserve"> The BSE is the </w:t>
      </w:r>
      <w:hyperlink r:id="rId14">
        <w:r>
          <w:rPr>
            <w:color w:val="3D65B6"/>
            <w:sz w:val="21"/>
            <w:szCs w:val="21"/>
          </w:rPr>
          <w:t>6th largest stock exchange</w:t>
        </w:r>
      </w:hyperlink>
      <w:r>
        <w:rPr>
          <w:color w:val="2F3335"/>
          <w:sz w:val="21"/>
          <w:szCs w:val="21"/>
        </w:rPr>
        <w:t xml:space="preserve"> with an overall </w:t>
      </w:r>
      <w:hyperlink r:id="rId15">
        <w:r>
          <w:rPr>
            <w:color w:val="3D65B6"/>
            <w:sz w:val="21"/>
            <w:szCs w:val="21"/>
          </w:rPr>
          <w:t>market capitalisation</w:t>
        </w:r>
      </w:hyperlink>
      <w:r>
        <w:rPr>
          <w:color w:val="2F3335"/>
          <w:sz w:val="21"/>
          <w:szCs w:val="21"/>
        </w:rPr>
        <w:t xml:space="preserve"> of more than ₹276.713 </w:t>
      </w:r>
      <w:hyperlink r:id="rId16">
        <w:r>
          <w:rPr>
            <w:color w:val="3D65B6"/>
            <w:sz w:val="21"/>
            <w:szCs w:val="21"/>
          </w:rPr>
          <w:t>lakh</w:t>
        </w:r>
      </w:hyperlink>
      <w:r>
        <w:rPr>
          <w:color w:val="2F3335"/>
          <w:sz w:val="21"/>
          <w:szCs w:val="21"/>
        </w:rPr>
        <w:t xml:space="preserve"> </w:t>
      </w:r>
      <w:hyperlink r:id="rId17">
        <w:r>
          <w:rPr>
            <w:color w:val="3D65B6"/>
            <w:sz w:val="21"/>
            <w:szCs w:val="21"/>
          </w:rPr>
          <w:t>crore</w:t>
        </w:r>
      </w:hyperlink>
      <w:r>
        <w:rPr>
          <w:color w:val="2F3335"/>
          <w:sz w:val="21"/>
          <w:szCs w:val="21"/>
        </w:rPr>
        <w:t xml:space="preserve"> or US$3.56 trillion, as of January 2022</w:t>
      </w:r>
    </w:p>
    <w:p w14:paraId="6D3C4FCA" w14:textId="77777777" w:rsidR="009409D7" w:rsidRDefault="009409D7">
      <w:pPr>
        <w:rPr>
          <w:color w:val="2F3335"/>
          <w:sz w:val="21"/>
          <w:szCs w:val="21"/>
          <w:shd w:val="clear" w:color="auto" w:fill="DCDAD7"/>
        </w:rPr>
      </w:pPr>
    </w:p>
    <w:p w14:paraId="3DCDDD50" w14:textId="77777777" w:rsidR="009409D7" w:rsidRDefault="009409D7">
      <w:pPr>
        <w:rPr>
          <w:color w:val="2F3335"/>
          <w:sz w:val="24"/>
          <w:szCs w:val="24"/>
          <w:shd w:val="clear" w:color="auto" w:fill="DCDAD7"/>
        </w:rPr>
      </w:pPr>
    </w:p>
    <w:p w14:paraId="1DB01351" w14:textId="77777777" w:rsidR="009409D7" w:rsidRDefault="00000000">
      <w:pPr>
        <w:rPr>
          <w:color w:val="2F3335"/>
          <w:sz w:val="24"/>
          <w:szCs w:val="24"/>
        </w:rPr>
      </w:pPr>
      <w:r>
        <w:rPr>
          <w:color w:val="2F3335"/>
          <w:sz w:val="24"/>
          <w:szCs w:val="24"/>
        </w:rPr>
        <w:t>Although it has multiple indices(</w:t>
      </w:r>
      <w:r>
        <w:rPr>
          <w:color w:val="2F3335"/>
          <w:sz w:val="21"/>
          <w:szCs w:val="21"/>
        </w:rPr>
        <w:t xml:space="preserve">In </w:t>
      </w:r>
      <w:hyperlink r:id="rId18">
        <w:r>
          <w:rPr>
            <w:color w:val="3D65B6"/>
            <w:sz w:val="21"/>
            <w:szCs w:val="21"/>
          </w:rPr>
          <w:t>finance</w:t>
        </w:r>
      </w:hyperlink>
      <w:r>
        <w:rPr>
          <w:color w:val="2F3335"/>
          <w:sz w:val="21"/>
          <w:szCs w:val="21"/>
        </w:rPr>
        <w:t xml:space="preserve">, a </w:t>
      </w:r>
      <w:r>
        <w:rPr>
          <w:b/>
          <w:color w:val="2F3335"/>
          <w:sz w:val="21"/>
          <w:szCs w:val="21"/>
        </w:rPr>
        <w:t>stock index</w:t>
      </w:r>
      <w:r>
        <w:rPr>
          <w:color w:val="2F3335"/>
          <w:sz w:val="21"/>
          <w:szCs w:val="21"/>
        </w:rPr>
        <w:t xml:space="preserve">, or </w:t>
      </w:r>
      <w:r>
        <w:rPr>
          <w:b/>
          <w:color w:val="2F3335"/>
          <w:sz w:val="21"/>
          <w:szCs w:val="21"/>
        </w:rPr>
        <w:t>stock market index</w:t>
      </w:r>
      <w:r>
        <w:rPr>
          <w:color w:val="2F3335"/>
          <w:sz w:val="21"/>
          <w:szCs w:val="21"/>
        </w:rPr>
        <w:t xml:space="preserve">, is an </w:t>
      </w:r>
      <w:hyperlink r:id="rId19">
        <w:r>
          <w:rPr>
            <w:color w:val="3D65B6"/>
            <w:sz w:val="21"/>
            <w:szCs w:val="21"/>
          </w:rPr>
          <w:t>index</w:t>
        </w:r>
      </w:hyperlink>
      <w:r>
        <w:rPr>
          <w:color w:val="2F3335"/>
          <w:sz w:val="21"/>
          <w:szCs w:val="21"/>
        </w:rPr>
        <w:t xml:space="preserve"> that measures a </w:t>
      </w:r>
      <w:hyperlink r:id="rId20">
        <w:r>
          <w:rPr>
            <w:color w:val="3D65B6"/>
            <w:sz w:val="21"/>
            <w:szCs w:val="21"/>
          </w:rPr>
          <w:t>stock market</w:t>
        </w:r>
      </w:hyperlink>
      <w:r>
        <w:rPr>
          <w:color w:val="2F3335"/>
          <w:sz w:val="21"/>
          <w:szCs w:val="21"/>
        </w:rPr>
        <w:t xml:space="preserve">, or a subset of the stock market, that helps </w:t>
      </w:r>
      <w:hyperlink r:id="rId21">
        <w:r>
          <w:rPr>
            <w:color w:val="3D65B6"/>
            <w:sz w:val="21"/>
            <w:szCs w:val="21"/>
          </w:rPr>
          <w:t>investors</w:t>
        </w:r>
      </w:hyperlink>
      <w:r>
        <w:rPr>
          <w:color w:val="2F3335"/>
          <w:sz w:val="21"/>
          <w:szCs w:val="21"/>
        </w:rPr>
        <w:t xml:space="preserve"> compare current </w:t>
      </w:r>
      <w:hyperlink r:id="rId22">
        <w:r>
          <w:rPr>
            <w:color w:val="3D65B6"/>
            <w:sz w:val="21"/>
            <w:szCs w:val="21"/>
          </w:rPr>
          <w:t>stock</w:t>
        </w:r>
      </w:hyperlink>
      <w:r>
        <w:rPr>
          <w:color w:val="2F3335"/>
          <w:sz w:val="21"/>
          <w:szCs w:val="21"/>
        </w:rPr>
        <w:t xml:space="preserve"> </w:t>
      </w:r>
      <w:hyperlink r:id="rId23">
        <w:r>
          <w:rPr>
            <w:color w:val="3D65B6"/>
            <w:sz w:val="21"/>
            <w:szCs w:val="21"/>
          </w:rPr>
          <w:t>price levels</w:t>
        </w:r>
      </w:hyperlink>
      <w:r>
        <w:rPr>
          <w:color w:val="2F3335"/>
          <w:sz w:val="21"/>
          <w:szCs w:val="21"/>
        </w:rPr>
        <w:t xml:space="preserve"> with past prices to calculate market performance</w:t>
      </w:r>
      <w:r>
        <w:rPr>
          <w:color w:val="2F3335"/>
          <w:sz w:val="24"/>
          <w:szCs w:val="24"/>
        </w:rPr>
        <w:t xml:space="preserve">), the most important is the BSE SENSEX. </w:t>
      </w:r>
    </w:p>
    <w:p w14:paraId="06E1C852" w14:textId="77777777" w:rsidR="009409D7" w:rsidRDefault="009409D7">
      <w:pPr>
        <w:rPr>
          <w:color w:val="2F3335"/>
          <w:sz w:val="24"/>
          <w:szCs w:val="24"/>
        </w:rPr>
      </w:pPr>
    </w:p>
    <w:p w14:paraId="1ECEA69E" w14:textId="77777777" w:rsidR="009409D7" w:rsidRDefault="00000000">
      <w:pPr>
        <w:rPr>
          <w:b/>
          <w:color w:val="2F3335"/>
          <w:sz w:val="32"/>
          <w:szCs w:val="32"/>
          <w:u w:val="single"/>
        </w:rPr>
      </w:pPr>
      <w:r>
        <w:rPr>
          <w:b/>
          <w:color w:val="2F3335"/>
          <w:sz w:val="32"/>
          <w:szCs w:val="32"/>
          <w:u w:val="single"/>
        </w:rPr>
        <w:t>2. National Stock Exchange(NSE) - Mumbai</w:t>
      </w:r>
    </w:p>
    <w:p w14:paraId="78DAB10B" w14:textId="77777777" w:rsidR="009409D7" w:rsidRDefault="009409D7">
      <w:pPr>
        <w:rPr>
          <w:b/>
          <w:color w:val="2F3335"/>
          <w:sz w:val="32"/>
          <w:szCs w:val="32"/>
          <w:u w:val="single"/>
        </w:rPr>
      </w:pPr>
    </w:p>
    <w:p w14:paraId="78C6F54B" w14:textId="77777777" w:rsidR="009409D7" w:rsidRDefault="00000000">
      <w:pPr>
        <w:shd w:val="clear" w:color="auto" w:fill="DCDAD7"/>
        <w:spacing w:before="100" w:after="100" w:line="240" w:lineRule="auto"/>
        <w:rPr>
          <w:color w:val="2F3335"/>
          <w:sz w:val="21"/>
          <w:szCs w:val="21"/>
        </w:rPr>
      </w:pPr>
      <w:r>
        <w:rPr>
          <w:color w:val="2F3335"/>
          <w:sz w:val="21"/>
          <w:szCs w:val="21"/>
        </w:rPr>
        <w:t xml:space="preserve">National Stock Exchange of India Limited (NSE) is one of the leading </w:t>
      </w:r>
      <w:hyperlink r:id="rId24">
        <w:r>
          <w:rPr>
            <w:color w:val="3D65B6"/>
            <w:sz w:val="21"/>
            <w:szCs w:val="21"/>
          </w:rPr>
          <w:t>stock exchanges</w:t>
        </w:r>
      </w:hyperlink>
      <w:r>
        <w:rPr>
          <w:color w:val="2F3335"/>
          <w:sz w:val="21"/>
          <w:szCs w:val="21"/>
        </w:rPr>
        <w:t xml:space="preserve"> in India, based in </w:t>
      </w:r>
      <w:hyperlink r:id="rId25">
        <w:r>
          <w:rPr>
            <w:color w:val="3D65B6"/>
            <w:sz w:val="21"/>
            <w:szCs w:val="21"/>
          </w:rPr>
          <w:t>Mumbai</w:t>
        </w:r>
      </w:hyperlink>
      <w:r>
        <w:rPr>
          <w:color w:val="2F3335"/>
          <w:sz w:val="21"/>
          <w:szCs w:val="21"/>
        </w:rPr>
        <w:t xml:space="preserve">. It is the world's largest </w:t>
      </w:r>
      <w:hyperlink r:id="rId26">
        <w:r>
          <w:rPr>
            <w:color w:val="3D65B6"/>
            <w:sz w:val="21"/>
            <w:szCs w:val="21"/>
          </w:rPr>
          <w:t>derivatives exchange</w:t>
        </w:r>
      </w:hyperlink>
      <w:r>
        <w:rPr>
          <w:color w:val="2F3335"/>
          <w:sz w:val="21"/>
          <w:szCs w:val="21"/>
        </w:rPr>
        <w:t xml:space="preserve"> by number of contracts traded</w:t>
      </w:r>
      <w:hyperlink r:id="rId27" w:anchor="cite_note-3">
        <w:r>
          <w:rPr>
            <w:color w:val="3D65B6"/>
            <w:sz w:val="28"/>
            <w:szCs w:val="28"/>
            <w:vertAlign w:val="superscript"/>
          </w:rPr>
          <w:t>[a]</w:t>
        </w:r>
      </w:hyperlink>
      <w:r>
        <w:rPr>
          <w:color w:val="2F3335"/>
          <w:sz w:val="21"/>
          <w:szCs w:val="21"/>
        </w:rPr>
        <w:t xml:space="preserve"> and the fourth largest in cash equities by number of trades</w:t>
      </w:r>
      <w:hyperlink r:id="rId28" w:anchor="cite_note-4">
        <w:r>
          <w:rPr>
            <w:color w:val="3D65B6"/>
            <w:sz w:val="28"/>
            <w:szCs w:val="28"/>
            <w:vertAlign w:val="superscript"/>
          </w:rPr>
          <w:t>[b]</w:t>
        </w:r>
      </w:hyperlink>
      <w:r>
        <w:rPr>
          <w:color w:val="2F3335"/>
          <w:sz w:val="21"/>
          <w:szCs w:val="21"/>
        </w:rPr>
        <w:t xml:space="preserve"> for the calendar year 2021. NSE is under the ownership of various financial institutions such as banks and insurance companies.</w:t>
      </w:r>
      <w:hyperlink r:id="rId29" w:anchor="cite_note-5">
        <w:r>
          <w:rPr>
            <w:color w:val="3D65B6"/>
            <w:sz w:val="28"/>
            <w:szCs w:val="28"/>
            <w:vertAlign w:val="superscript"/>
          </w:rPr>
          <w:t>[3]</w:t>
        </w:r>
      </w:hyperlink>
      <w:r>
        <w:rPr>
          <w:color w:val="2F3335"/>
          <w:sz w:val="21"/>
          <w:szCs w:val="21"/>
        </w:rPr>
        <w:t xml:space="preserve"> NSE was established in 1992 as the first </w:t>
      </w:r>
      <w:hyperlink r:id="rId30">
        <w:r>
          <w:rPr>
            <w:color w:val="3D65B6"/>
            <w:sz w:val="21"/>
            <w:szCs w:val="21"/>
          </w:rPr>
          <w:t>dematerialized</w:t>
        </w:r>
      </w:hyperlink>
      <w:r>
        <w:rPr>
          <w:color w:val="2F3335"/>
          <w:sz w:val="21"/>
          <w:szCs w:val="21"/>
        </w:rPr>
        <w:t xml:space="preserve"> electronic exchange in the country and the first exchange in the country to provide a screen-based </w:t>
      </w:r>
      <w:hyperlink r:id="rId31">
        <w:r>
          <w:rPr>
            <w:color w:val="3D65B6"/>
            <w:sz w:val="21"/>
            <w:szCs w:val="21"/>
          </w:rPr>
          <w:t>electronic trading</w:t>
        </w:r>
      </w:hyperlink>
      <w:r>
        <w:rPr>
          <w:color w:val="2F3335"/>
          <w:sz w:val="21"/>
          <w:szCs w:val="21"/>
        </w:rPr>
        <w:t xml:space="preserve"> system to investors. </w:t>
      </w:r>
    </w:p>
    <w:p w14:paraId="03BD39A8" w14:textId="77777777" w:rsidR="009409D7" w:rsidRDefault="00000000">
      <w:pPr>
        <w:shd w:val="clear" w:color="auto" w:fill="DCDAD7"/>
        <w:spacing w:before="100" w:after="100"/>
        <w:rPr>
          <w:color w:val="3D65B6"/>
          <w:sz w:val="28"/>
          <w:szCs w:val="28"/>
          <w:vertAlign w:val="superscript"/>
        </w:rPr>
      </w:pPr>
      <w:r>
        <w:rPr>
          <w:color w:val="2F3335"/>
          <w:sz w:val="21"/>
          <w:szCs w:val="21"/>
        </w:rPr>
        <w:t xml:space="preserve">National Stock Exchange has a total </w:t>
      </w:r>
      <w:hyperlink r:id="rId32">
        <w:r>
          <w:rPr>
            <w:color w:val="3D65B6"/>
            <w:sz w:val="21"/>
            <w:szCs w:val="21"/>
          </w:rPr>
          <w:t>market capitalization</w:t>
        </w:r>
      </w:hyperlink>
      <w:r>
        <w:rPr>
          <w:color w:val="2F3335"/>
          <w:sz w:val="21"/>
          <w:szCs w:val="21"/>
        </w:rPr>
        <w:t xml:space="preserve"> of more than </w:t>
      </w:r>
      <w:hyperlink r:id="rId33">
        <w:r>
          <w:rPr>
            <w:color w:val="3D65B6"/>
            <w:sz w:val="21"/>
            <w:szCs w:val="21"/>
          </w:rPr>
          <w:t>US$</w:t>
        </w:r>
      </w:hyperlink>
      <w:r>
        <w:rPr>
          <w:color w:val="2F3335"/>
          <w:sz w:val="21"/>
          <w:szCs w:val="21"/>
        </w:rPr>
        <w:t xml:space="preserve">3.4 trillion, making it </w:t>
      </w:r>
      <w:hyperlink r:id="rId34">
        <w:r>
          <w:rPr>
            <w:color w:val="3D65B6"/>
            <w:sz w:val="21"/>
            <w:szCs w:val="21"/>
          </w:rPr>
          <w:t>the world's 9th-largest stock exchange</w:t>
        </w:r>
      </w:hyperlink>
      <w:r>
        <w:rPr>
          <w:color w:val="2F3335"/>
          <w:sz w:val="21"/>
          <w:szCs w:val="21"/>
        </w:rPr>
        <w:t xml:space="preserve"> as of August 2021.</w:t>
      </w:r>
      <w:hyperlink r:id="rId35" w:anchor="cite_note-WFE-2">
        <w:r>
          <w:rPr>
            <w:color w:val="3D65B6"/>
            <w:sz w:val="28"/>
            <w:szCs w:val="28"/>
            <w:vertAlign w:val="superscript"/>
          </w:rPr>
          <w:t>[2]</w:t>
        </w:r>
      </w:hyperlink>
      <w:r>
        <w:rPr>
          <w:color w:val="2F3335"/>
          <w:sz w:val="21"/>
          <w:szCs w:val="21"/>
        </w:rPr>
        <w:t xml:space="preserve"> NSE's flagship index, the </w:t>
      </w:r>
      <w:hyperlink r:id="rId36">
        <w:r>
          <w:rPr>
            <w:color w:val="3D65B6"/>
            <w:sz w:val="21"/>
            <w:szCs w:val="21"/>
          </w:rPr>
          <w:t>NIFTY 50</w:t>
        </w:r>
      </w:hyperlink>
      <w:r>
        <w:rPr>
          <w:color w:val="2F3335"/>
          <w:sz w:val="21"/>
          <w:szCs w:val="21"/>
        </w:rPr>
        <w:t xml:space="preserve">, a 50 stock index is used extensively by investors in </w:t>
      </w:r>
      <w:hyperlink r:id="rId37">
        <w:r>
          <w:rPr>
            <w:color w:val="3D65B6"/>
            <w:sz w:val="21"/>
            <w:szCs w:val="21"/>
          </w:rPr>
          <w:t>India</w:t>
        </w:r>
      </w:hyperlink>
      <w:r>
        <w:rPr>
          <w:color w:val="2F3335"/>
          <w:sz w:val="21"/>
          <w:szCs w:val="21"/>
        </w:rPr>
        <w:t xml:space="preserve"> and around the world as a barometer of the Indian capital market. The </w:t>
      </w:r>
      <w:hyperlink r:id="rId38">
        <w:r>
          <w:rPr>
            <w:color w:val="3D65B6"/>
            <w:sz w:val="21"/>
            <w:szCs w:val="21"/>
          </w:rPr>
          <w:t>NIFTY 50</w:t>
        </w:r>
      </w:hyperlink>
      <w:r>
        <w:rPr>
          <w:color w:val="2F3335"/>
          <w:sz w:val="21"/>
          <w:szCs w:val="21"/>
        </w:rPr>
        <w:t xml:space="preserve"> index was launched in 1996 by NSE.</w:t>
      </w:r>
      <w:hyperlink r:id="rId39" w:anchor="cite_note-6">
        <w:r>
          <w:rPr>
            <w:color w:val="3D65B6"/>
            <w:sz w:val="28"/>
            <w:szCs w:val="28"/>
            <w:vertAlign w:val="superscript"/>
          </w:rPr>
          <w:t>[4]</w:t>
        </w:r>
      </w:hyperlink>
    </w:p>
    <w:p w14:paraId="0D599BCE" w14:textId="77777777" w:rsidR="009409D7" w:rsidRDefault="00000000">
      <w:pPr>
        <w:shd w:val="clear" w:color="auto" w:fill="DCDAD7"/>
        <w:spacing w:before="100" w:after="100"/>
        <w:rPr>
          <w:color w:val="2F3335"/>
          <w:sz w:val="21"/>
          <w:szCs w:val="21"/>
        </w:rPr>
      </w:pPr>
      <w:r>
        <w:rPr>
          <w:color w:val="2F3335"/>
          <w:sz w:val="21"/>
          <w:szCs w:val="21"/>
        </w:rPr>
        <w:t xml:space="preserve">Unlike countries like the </w:t>
      </w:r>
      <w:hyperlink r:id="rId40">
        <w:r>
          <w:rPr>
            <w:color w:val="3D65B6"/>
            <w:sz w:val="21"/>
            <w:szCs w:val="21"/>
          </w:rPr>
          <w:t>United States</w:t>
        </w:r>
      </w:hyperlink>
      <w:r>
        <w:rPr>
          <w:color w:val="2F3335"/>
          <w:sz w:val="21"/>
          <w:szCs w:val="21"/>
        </w:rPr>
        <w:t xml:space="preserve"> where nearly 70% of the country's </w:t>
      </w:r>
      <w:hyperlink r:id="rId41">
        <w:r>
          <w:rPr>
            <w:color w:val="3D65B6"/>
            <w:sz w:val="21"/>
            <w:szCs w:val="21"/>
          </w:rPr>
          <w:t>GDP</w:t>
        </w:r>
      </w:hyperlink>
      <w:r>
        <w:rPr>
          <w:color w:val="2F3335"/>
          <w:sz w:val="21"/>
          <w:szCs w:val="21"/>
        </w:rPr>
        <w:t xml:space="preserve"> is derived from large companies in the </w:t>
      </w:r>
      <w:hyperlink r:id="rId42">
        <w:r>
          <w:rPr>
            <w:color w:val="3D65B6"/>
            <w:sz w:val="21"/>
            <w:szCs w:val="21"/>
          </w:rPr>
          <w:t>corporate</w:t>
        </w:r>
      </w:hyperlink>
      <w:r>
        <w:rPr>
          <w:color w:val="2F3335"/>
          <w:sz w:val="21"/>
          <w:szCs w:val="21"/>
        </w:rPr>
        <w:t xml:space="preserve"> sector, the corporate sector in India accounts for only 12–14% of the national GDP (as of October 2016). Only 7,400 companies are listed of which only 4,000 trade on the stock exchanges at </w:t>
      </w:r>
      <w:hyperlink r:id="rId43">
        <w:r>
          <w:rPr>
            <w:color w:val="3D65B6"/>
            <w:sz w:val="21"/>
            <w:szCs w:val="21"/>
          </w:rPr>
          <w:t>BSE</w:t>
        </w:r>
      </w:hyperlink>
      <w:r>
        <w:rPr>
          <w:color w:val="2F3335"/>
          <w:sz w:val="21"/>
          <w:szCs w:val="21"/>
        </w:rPr>
        <w:t xml:space="preserve"> and NSE.</w:t>
      </w:r>
    </w:p>
    <w:p w14:paraId="41BAE309" w14:textId="77777777" w:rsidR="009409D7" w:rsidRDefault="009409D7">
      <w:pPr>
        <w:rPr>
          <w:b/>
          <w:color w:val="2F3335"/>
          <w:sz w:val="32"/>
          <w:szCs w:val="32"/>
          <w:u w:val="single"/>
        </w:rPr>
      </w:pPr>
    </w:p>
    <w:p w14:paraId="39A4A8C3" w14:textId="77777777" w:rsidR="009409D7" w:rsidRDefault="00000000">
      <w:pPr>
        <w:rPr>
          <w:color w:val="2F3335"/>
          <w:sz w:val="24"/>
          <w:szCs w:val="24"/>
        </w:rPr>
      </w:pPr>
      <w:r>
        <w:rPr>
          <w:color w:val="2F3335"/>
          <w:sz w:val="24"/>
          <w:szCs w:val="24"/>
        </w:rPr>
        <w:t>NSE also consists of multiple indices, the important ones are NIFTY 50(most imp), NIFTY 200.</w:t>
      </w:r>
    </w:p>
    <w:p w14:paraId="7CEB082B" w14:textId="77777777" w:rsidR="009409D7" w:rsidRDefault="009409D7">
      <w:pPr>
        <w:rPr>
          <w:color w:val="2F3335"/>
          <w:sz w:val="24"/>
          <w:szCs w:val="24"/>
        </w:rPr>
      </w:pPr>
    </w:p>
    <w:p w14:paraId="5FA556D3" w14:textId="77777777" w:rsidR="009409D7" w:rsidRDefault="00000000">
      <w:pPr>
        <w:rPr>
          <w:color w:val="2F3335"/>
          <w:sz w:val="24"/>
          <w:szCs w:val="24"/>
        </w:rPr>
      </w:pPr>
      <w:r>
        <w:rPr>
          <w:color w:val="2F3335"/>
          <w:sz w:val="24"/>
          <w:szCs w:val="24"/>
        </w:rPr>
        <w:t>What makes NSE stand out is its sectoral indices which makes us make better decisions regarding the performance of various sectors in our country. Examples are NIFTY BANK, NIFTY AUTO, NIFTY FMCG, NIFTY IT, NIFTY METAL, NIFTY PHARMA(these are the imp ones).</w:t>
      </w:r>
    </w:p>
    <w:p w14:paraId="6500CA92" w14:textId="77777777" w:rsidR="009409D7" w:rsidRDefault="009409D7">
      <w:pPr>
        <w:rPr>
          <w:color w:val="2F3335"/>
          <w:sz w:val="24"/>
          <w:szCs w:val="24"/>
        </w:rPr>
      </w:pPr>
    </w:p>
    <w:p w14:paraId="6A682EC9" w14:textId="77777777" w:rsidR="009409D7" w:rsidRDefault="00000000">
      <w:pPr>
        <w:rPr>
          <w:color w:val="2F3335"/>
          <w:sz w:val="24"/>
          <w:szCs w:val="24"/>
        </w:rPr>
      </w:pPr>
      <w:r>
        <w:rPr>
          <w:color w:val="2F3335"/>
          <w:sz w:val="24"/>
          <w:szCs w:val="24"/>
        </w:rPr>
        <w:t>Another key factor in both BSE and NSE is the weightage of companies in their indices respectively, which tend to create major movements in the market, hence they are generally termed as market-movers, e.g. Adani stocks right now.</w:t>
      </w:r>
    </w:p>
    <w:p w14:paraId="39D7B680" w14:textId="77777777" w:rsidR="009409D7" w:rsidRDefault="009409D7">
      <w:pPr>
        <w:rPr>
          <w:color w:val="2F3335"/>
          <w:sz w:val="24"/>
          <w:szCs w:val="24"/>
        </w:rPr>
      </w:pPr>
    </w:p>
    <w:p w14:paraId="23813268" w14:textId="77777777" w:rsidR="009409D7" w:rsidRDefault="009409D7">
      <w:pPr>
        <w:rPr>
          <w:color w:val="2F3335"/>
          <w:sz w:val="24"/>
          <w:szCs w:val="24"/>
        </w:rPr>
      </w:pPr>
    </w:p>
    <w:p w14:paraId="2E777475" w14:textId="77777777" w:rsidR="009409D7" w:rsidRDefault="00000000">
      <w:pPr>
        <w:rPr>
          <w:color w:val="2F3335"/>
          <w:sz w:val="24"/>
          <w:szCs w:val="24"/>
        </w:rPr>
      </w:pPr>
      <w:r>
        <w:rPr>
          <w:color w:val="2F3335"/>
          <w:sz w:val="24"/>
          <w:szCs w:val="24"/>
        </w:rPr>
        <w:t>Here are the various weightages of NIFTY:-</w:t>
      </w:r>
    </w:p>
    <w:p w14:paraId="37BB7A94" w14:textId="77777777" w:rsidR="009409D7" w:rsidRDefault="009409D7">
      <w:pPr>
        <w:rPr>
          <w:color w:val="2F3335"/>
          <w:sz w:val="24"/>
          <w:szCs w:val="24"/>
        </w:rPr>
      </w:pPr>
    </w:p>
    <w:p w14:paraId="2E5A63F2" w14:textId="77777777" w:rsidR="009409D7" w:rsidRDefault="00000000">
      <w:pPr>
        <w:numPr>
          <w:ilvl w:val="0"/>
          <w:numId w:val="3"/>
        </w:numPr>
        <w:rPr>
          <w:b/>
          <w:color w:val="2F3335"/>
          <w:sz w:val="24"/>
          <w:szCs w:val="24"/>
        </w:rPr>
      </w:pPr>
      <w:r>
        <w:rPr>
          <w:b/>
          <w:color w:val="2F3335"/>
          <w:sz w:val="24"/>
          <w:szCs w:val="24"/>
          <w:u w:val="single"/>
        </w:rPr>
        <w:t>Sectoral weightage</w:t>
      </w:r>
    </w:p>
    <w:p w14:paraId="5CB90F22" w14:textId="77777777" w:rsidR="009409D7" w:rsidRDefault="009409D7">
      <w:pPr>
        <w:rPr>
          <w:b/>
          <w:color w:val="2F3335"/>
          <w:sz w:val="24"/>
          <w:szCs w:val="24"/>
          <w:u w:val="single"/>
        </w:rPr>
      </w:pPr>
    </w:p>
    <w:p w14:paraId="42866B7C" w14:textId="77777777" w:rsidR="009409D7" w:rsidRDefault="00000000">
      <w:pPr>
        <w:rPr>
          <w:rFonts w:ascii="Verdana" w:eastAsia="Verdana" w:hAnsi="Verdana" w:cs="Verdana"/>
          <w:color w:val="303436"/>
          <w:sz w:val="23"/>
          <w:szCs w:val="23"/>
        </w:rPr>
      </w:pPr>
      <w:r>
        <w:rPr>
          <w:rFonts w:ascii="Verdana" w:eastAsia="Verdana" w:hAnsi="Verdana" w:cs="Verdana"/>
          <w:color w:val="303436"/>
          <w:sz w:val="23"/>
          <w:szCs w:val="23"/>
        </w:rPr>
        <w:lastRenderedPageBreak/>
        <w:t xml:space="preserve">The NIFTY 50 Index gives a weightage of 36.81% to </w:t>
      </w:r>
      <w:r>
        <w:rPr>
          <w:rFonts w:ascii="Verdana" w:eastAsia="Verdana" w:hAnsi="Verdana" w:cs="Verdana"/>
          <w:b/>
          <w:color w:val="303436"/>
          <w:sz w:val="23"/>
          <w:szCs w:val="23"/>
        </w:rPr>
        <w:t>Financial Services</w:t>
      </w:r>
      <w:r>
        <w:rPr>
          <w:rFonts w:ascii="Verdana" w:eastAsia="Verdana" w:hAnsi="Verdana" w:cs="Verdana"/>
          <w:color w:val="303436"/>
          <w:sz w:val="23"/>
          <w:szCs w:val="23"/>
        </w:rPr>
        <w:t xml:space="preserve">, 14.70% to </w:t>
      </w:r>
      <w:r>
        <w:rPr>
          <w:rFonts w:ascii="Verdana" w:eastAsia="Verdana" w:hAnsi="Verdana" w:cs="Verdana"/>
          <w:b/>
          <w:color w:val="303436"/>
          <w:sz w:val="23"/>
          <w:szCs w:val="23"/>
        </w:rPr>
        <w:t>IT</w:t>
      </w:r>
      <w:r>
        <w:rPr>
          <w:rFonts w:ascii="Verdana" w:eastAsia="Verdana" w:hAnsi="Verdana" w:cs="Verdana"/>
          <w:color w:val="303436"/>
          <w:sz w:val="23"/>
          <w:szCs w:val="23"/>
        </w:rPr>
        <w:t xml:space="preserve">, 12.17% to </w:t>
      </w:r>
      <w:r>
        <w:rPr>
          <w:rFonts w:ascii="Verdana" w:eastAsia="Verdana" w:hAnsi="Verdana" w:cs="Verdana"/>
          <w:b/>
          <w:color w:val="303436"/>
          <w:sz w:val="23"/>
          <w:szCs w:val="23"/>
        </w:rPr>
        <w:t>Energy</w:t>
      </w:r>
      <w:r>
        <w:rPr>
          <w:rFonts w:ascii="Verdana" w:eastAsia="Verdana" w:hAnsi="Verdana" w:cs="Verdana"/>
          <w:color w:val="303436"/>
          <w:sz w:val="23"/>
          <w:szCs w:val="23"/>
        </w:rPr>
        <w:t xml:space="preserve">, 9.02% to </w:t>
      </w:r>
      <w:r>
        <w:rPr>
          <w:rFonts w:ascii="Verdana" w:eastAsia="Verdana" w:hAnsi="Verdana" w:cs="Verdana"/>
          <w:b/>
          <w:color w:val="303436"/>
          <w:sz w:val="23"/>
          <w:szCs w:val="23"/>
        </w:rPr>
        <w:t>Consumer Goods</w:t>
      </w:r>
      <w:r>
        <w:rPr>
          <w:rFonts w:ascii="Verdana" w:eastAsia="Verdana" w:hAnsi="Verdana" w:cs="Verdana"/>
          <w:color w:val="303436"/>
          <w:sz w:val="23"/>
          <w:szCs w:val="23"/>
        </w:rPr>
        <w:t xml:space="preserve">, 5.84% to </w:t>
      </w:r>
      <w:r>
        <w:rPr>
          <w:rFonts w:ascii="Verdana" w:eastAsia="Verdana" w:hAnsi="Verdana" w:cs="Verdana"/>
          <w:b/>
          <w:color w:val="303436"/>
          <w:sz w:val="23"/>
          <w:szCs w:val="23"/>
        </w:rPr>
        <w:t xml:space="preserve">Automobiles </w:t>
      </w:r>
      <w:r>
        <w:rPr>
          <w:rFonts w:ascii="Verdana" w:eastAsia="Verdana" w:hAnsi="Verdana" w:cs="Verdana"/>
          <w:color w:val="303436"/>
          <w:sz w:val="23"/>
          <w:szCs w:val="23"/>
        </w:rPr>
        <w:t xml:space="preserve">and 4.02% to </w:t>
      </w:r>
      <w:r>
        <w:rPr>
          <w:rFonts w:ascii="Verdana" w:eastAsia="Verdana" w:hAnsi="Verdana" w:cs="Verdana"/>
          <w:b/>
          <w:color w:val="303436"/>
          <w:sz w:val="23"/>
          <w:szCs w:val="23"/>
        </w:rPr>
        <w:t>Metals &amp; Mining</w:t>
      </w:r>
      <w:r>
        <w:rPr>
          <w:rFonts w:ascii="Verdana" w:eastAsia="Verdana" w:hAnsi="Verdana" w:cs="Verdana"/>
          <w:color w:val="303436"/>
          <w:sz w:val="23"/>
          <w:szCs w:val="23"/>
        </w:rPr>
        <w:t>. The NIFTY 50 index is a free-float market capitalization index. It is important to highlight that Nifty 50 weightage of sectors keep changing according to the performance of constituent stocks.</w:t>
      </w:r>
    </w:p>
    <w:p w14:paraId="39D64F9C" w14:textId="77777777" w:rsidR="009409D7" w:rsidRDefault="009409D7">
      <w:pPr>
        <w:rPr>
          <w:rFonts w:ascii="Verdana" w:eastAsia="Verdana" w:hAnsi="Verdana" w:cs="Verdana"/>
          <w:color w:val="303436"/>
          <w:sz w:val="23"/>
          <w:szCs w:val="23"/>
        </w:rPr>
      </w:pPr>
    </w:p>
    <w:p w14:paraId="6DB8EC29" w14:textId="77777777" w:rsidR="009409D7" w:rsidRDefault="00000000">
      <w:pPr>
        <w:rPr>
          <w:rFonts w:ascii="Verdana" w:eastAsia="Verdana" w:hAnsi="Verdana" w:cs="Verdana"/>
          <w:color w:val="303436"/>
          <w:sz w:val="23"/>
          <w:szCs w:val="23"/>
        </w:rPr>
      </w:pPr>
      <w:r>
        <w:rPr>
          <w:rFonts w:ascii="Verdana" w:eastAsia="Verdana" w:hAnsi="Verdana" w:cs="Verdana"/>
          <w:noProof/>
          <w:color w:val="303436"/>
          <w:sz w:val="23"/>
          <w:szCs w:val="23"/>
        </w:rPr>
        <w:drawing>
          <wp:inline distT="114300" distB="114300" distL="114300" distR="114300" wp14:anchorId="7EF60D1F" wp14:editId="406255D9">
            <wp:extent cx="5900738" cy="485775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4"/>
                    <a:srcRect/>
                    <a:stretch>
                      <a:fillRect/>
                    </a:stretch>
                  </pic:blipFill>
                  <pic:spPr>
                    <a:xfrm>
                      <a:off x="0" y="0"/>
                      <a:ext cx="5900738" cy="4857750"/>
                    </a:xfrm>
                    <a:prstGeom prst="rect">
                      <a:avLst/>
                    </a:prstGeom>
                    <a:ln/>
                  </pic:spPr>
                </pic:pic>
              </a:graphicData>
            </a:graphic>
          </wp:inline>
        </w:drawing>
      </w:r>
    </w:p>
    <w:p w14:paraId="6A48CE96" w14:textId="77777777" w:rsidR="009409D7" w:rsidRDefault="009409D7">
      <w:pPr>
        <w:rPr>
          <w:rFonts w:ascii="Verdana" w:eastAsia="Verdana" w:hAnsi="Verdana" w:cs="Verdana"/>
          <w:color w:val="303436"/>
          <w:sz w:val="23"/>
          <w:szCs w:val="23"/>
        </w:rPr>
      </w:pPr>
    </w:p>
    <w:p w14:paraId="062A4DB4" w14:textId="77777777" w:rsidR="009409D7" w:rsidRDefault="00000000">
      <w:pPr>
        <w:rPr>
          <w:rFonts w:ascii="Verdana" w:eastAsia="Verdana" w:hAnsi="Verdana" w:cs="Verdana"/>
          <w:color w:val="303436"/>
          <w:sz w:val="23"/>
          <w:szCs w:val="23"/>
        </w:rPr>
      </w:pPr>
      <w:r>
        <w:rPr>
          <w:rFonts w:ascii="Verdana" w:eastAsia="Verdana" w:hAnsi="Verdana" w:cs="Verdana"/>
          <w:color w:val="303436"/>
          <w:sz w:val="23"/>
          <w:szCs w:val="23"/>
        </w:rPr>
        <w:t>Nearly 78.5% of the NIFTY 50 is based on 5 sectors. Fin Services(mainly Banks are the heavyweights), next comes IT servicing companies like TCS, Infosys, Wipro etc. Next are the fuel-based ones e.g. Indian Oil, ONGC, BPCL etc. Next comes FMCG(Fast-moving consumer goods) companies, basically companies with our daily needs like Hindustan Unilever, Britannia, Colgate, Dabur etc. And lastly the auto companies like Tata Motors, Maruti Suzuki, Mahindra &amp; Mahindra, etc(their importance or weightage are likely to go up as India modernises in the upcoming future).</w:t>
      </w:r>
    </w:p>
    <w:p w14:paraId="1FF39383" w14:textId="77777777" w:rsidR="009409D7" w:rsidRDefault="009409D7">
      <w:pPr>
        <w:rPr>
          <w:rFonts w:ascii="Verdana" w:eastAsia="Verdana" w:hAnsi="Verdana" w:cs="Verdana"/>
          <w:color w:val="303436"/>
          <w:sz w:val="23"/>
          <w:szCs w:val="23"/>
        </w:rPr>
      </w:pPr>
    </w:p>
    <w:p w14:paraId="5E6EC701" w14:textId="77777777" w:rsidR="009409D7" w:rsidRDefault="00000000">
      <w:pPr>
        <w:numPr>
          <w:ilvl w:val="0"/>
          <w:numId w:val="3"/>
        </w:numPr>
        <w:rPr>
          <w:rFonts w:ascii="Verdana" w:eastAsia="Verdana" w:hAnsi="Verdana" w:cs="Verdana"/>
          <w:b/>
          <w:color w:val="303436"/>
          <w:sz w:val="23"/>
          <w:szCs w:val="23"/>
        </w:rPr>
      </w:pPr>
      <w:r>
        <w:rPr>
          <w:rFonts w:ascii="Verdana" w:eastAsia="Verdana" w:hAnsi="Verdana" w:cs="Verdana"/>
          <w:b/>
          <w:color w:val="303436"/>
          <w:sz w:val="23"/>
          <w:szCs w:val="23"/>
          <w:u w:val="single"/>
        </w:rPr>
        <w:t>Company weightage</w:t>
      </w:r>
    </w:p>
    <w:p w14:paraId="5AD556F7" w14:textId="77777777" w:rsidR="009409D7" w:rsidRDefault="00000000">
      <w:pPr>
        <w:rPr>
          <w:rFonts w:ascii="Verdana" w:eastAsia="Verdana" w:hAnsi="Verdana" w:cs="Verdana"/>
          <w:b/>
          <w:color w:val="303436"/>
          <w:sz w:val="23"/>
          <w:szCs w:val="23"/>
          <w:u w:val="single"/>
        </w:rPr>
      </w:pPr>
      <w:r>
        <w:rPr>
          <w:rFonts w:ascii="Verdana" w:eastAsia="Verdana" w:hAnsi="Verdana" w:cs="Verdana"/>
          <w:b/>
          <w:noProof/>
          <w:color w:val="303436"/>
          <w:sz w:val="23"/>
          <w:szCs w:val="23"/>
          <w:u w:val="single"/>
        </w:rPr>
        <w:lastRenderedPageBreak/>
        <w:drawing>
          <wp:inline distT="114300" distB="114300" distL="114300" distR="114300" wp14:anchorId="17843BC7" wp14:editId="46F601E2">
            <wp:extent cx="6648450" cy="457676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5"/>
                    <a:srcRect/>
                    <a:stretch>
                      <a:fillRect/>
                    </a:stretch>
                  </pic:blipFill>
                  <pic:spPr>
                    <a:xfrm>
                      <a:off x="0" y="0"/>
                      <a:ext cx="6648450" cy="4576763"/>
                    </a:xfrm>
                    <a:prstGeom prst="rect">
                      <a:avLst/>
                    </a:prstGeom>
                    <a:ln/>
                  </pic:spPr>
                </pic:pic>
              </a:graphicData>
            </a:graphic>
          </wp:inline>
        </w:drawing>
      </w:r>
    </w:p>
    <w:p w14:paraId="45762742" w14:textId="77777777" w:rsidR="009409D7" w:rsidRDefault="00000000">
      <w:pPr>
        <w:rPr>
          <w:rFonts w:ascii="Verdana" w:eastAsia="Verdana" w:hAnsi="Verdana" w:cs="Verdana"/>
          <w:b/>
          <w:color w:val="303436"/>
          <w:sz w:val="23"/>
          <w:szCs w:val="23"/>
          <w:u w:val="single"/>
        </w:rPr>
      </w:pPr>
      <w:r>
        <w:rPr>
          <w:rFonts w:ascii="Verdana" w:eastAsia="Verdana" w:hAnsi="Verdana" w:cs="Verdana"/>
          <w:b/>
          <w:noProof/>
          <w:color w:val="303436"/>
          <w:sz w:val="23"/>
          <w:szCs w:val="23"/>
          <w:u w:val="single"/>
        </w:rPr>
        <w:drawing>
          <wp:inline distT="114300" distB="114300" distL="114300" distR="114300" wp14:anchorId="66B3049B" wp14:editId="7CC48F6A">
            <wp:extent cx="6648450" cy="49101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6"/>
                    <a:srcRect/>
                    <a:stretch>
                      <a:fillRect/>
                    </a:stretch>
                  </pic:blipFill>
                  <pic:spPr>
                    <a:xfrm>
                      <a:off x="0" y="0"/>
                      <a:ext cx="6648450" cy="4910138"/>
                    </a:xfrm>
                    <a:prstGeom prst="rect">
                      <a:avLst/>
                    </a:prstGeom>
                    <a:ln/>
                  </pic:spPr>
                </pic:pic>
              </a:graphicData>
            </a:graphic>
          </wp:inline>
        </w:drawing>
      </w:r>
    </w:p>
    <w:p w14:paraId="60CCED89" w14:textId="77777777" w:rsidR="009409D7" w:rsidRDefault="00000000">
      <w:pPr>
        <w:rPr>
          <w:rFonts w:ascii="Verdana" w:eastAsia="Verdana" w:hAnsi="Verdana" w:cs="Verdana"/>
          <w:b/>
          <w:color w:val="303436"/>
          <w:sz w:val="23"/>
          <w:szCs w:val="23"/>
          <w:u w:val="single"/>
        </w:rPr>
      </w:pPr>
      <w:r>
        <w:rPr>
          <w:rFonts w:ascii="Verdana" w:eastAsia="Verdana" w:hAnsi="Verdana" w:cs="Verdana"/>
          <w:b/>
          <w:noProof/>
          <w:color w:val="303436"/>
          <w:sz w:val="23"/>
          <w:szCs w:val="23"/>
          <w:u w:val="single"/>
        </w:rPr>
        <w:lastRenderedPageBreak/>
        <w:drawing>
          <wp:inline distT="114300" distB="114300" distL="114300" distR="114300" wp14:anchorId="1BBEBEEF" wp14:editId="7FAFA02D">
            <wp:extent cx="6648450" cy="47577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7"/>
                    <a:srcRect/>
                    <a:stretch>
                      <a:fillRect/>
                    </a:stretch>
                  </pic:blipFill>
                  <pic:spPr>
                    <a:xfrm>
                      <a:off x="0" y="0"/>
                      <a:ext cx="6648450" cy="4757738"/>
                    </a:xfrm>
                    <a:prstGeom prst="rect">
                      <a:avLst/>
                    </a:prstGeom>
                    <a:ln/>
                  </pic:spPr>
                </pic:pic>
              </a:graphicData>
            </a:graphic>
          </wp:inline>
        </w:drawing>
      </w:r>
    </w:p>
    <w:p w14:paraId="30C18374" w14:textId="77777777" w:rsidR="009409D7" w:rsidRDefault="00000000">
      <w:pPr>
        <w:rPr>
          <w:rFonts w:ascii="Verdana" w:eastAsia="Verdana" w:hAnsi="Verdana" w:cs="Verdana"/>
          <w:b/>
          <w:color w:val="303436"/>
          <w:sz w:val="23"/>
          <w:szCs w:val="23"/>
          <w:u w:val="single"/>
        </w:rPr>
      </w:pPr>
      <w:r>
        <w:rPr>
          <w:rFonts w:ascii="Verdana" w:eastAsia="Verdana" w:hAnsi="Verdana" w:cs="Verdana"/>
          <w:b/>
          <w:noProof/>
          <w:color w:val="303436"/>
          <w:sz w:val="23"/>
          <w:szCs w:val="23"/>
          <w:u w:val="single"/>
        </w:rPr>
        <w:drawing>
          <wp:inline distT="114300" distB="114300" distL="114300" distR="114300" wp14:anchorId="0FA0D7E2" wp14:editId="2886C48E">
            <wp:extent cx="6648450" cy="472902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8"/>
                    <a:srcRect/>
                    <a:stretch>
                      <a:fillRect/>
                    </a:stretch>
                  </pic:blipFill>
                  <pic:spPr>
                    <a:xfrm>
                      <a:off x="0" y="0"/>
                      <a:ext cx="6648450" cy="4729023"/>
                    </a:xfrm>
                    <a:prstGeom prst="rect">
                      <a:avLst/>
                    </a:prstGeom>
                    <a:ln/>
                  </pic:spPr>
                </pic:pic>
              </a:graphicData>
            </a:graphic>
          </wp:inline>
        </w:drawing>
      </w:r>
    </w:p>
    <w:p w14:paraId="0ADCB516" w14:textId="77777777" w:rsidR="009409D7" w:rsidRDefault="00000000">
      <w:pPr>
        <w:rPr>
          <w:rFonts w:ascii="Verdana" w:eastAsia="Verdana" w:hAnsi="Verdana" w:cs="Verdana"/>
          <w:b/>
          <w:color w:val="303436"/>
          <w:sz w:val="29"/>
          <w:szCs w:val="29"/>
          <w:u w:val="single"/>
        </w:rPr>
      </w:pPr>
      <w:r>
        <w:rPr>
          <w:rFonts w:ascii="Verdana" w:eastAsia="Verdana" w:hAnsi="Verdana" w:cs="Verdana"/>
          <w:b/>
          <w:color w:val="303436"/>
          <w:sz w:val="29"/>
          <w:szCs w:val="29"/>
          <w:u w:val="single"/>
        </w:rPr>
        <w:lastRenderedPageBreak/>
        <w:t>Indicators</w:t>
      </w:r>
    </w:p>
    <w:p w14:paraId="501BCC75" w14:textId="77777777" w:rsidR="009409D7" w:rsidRDefault="009409D7">
      <w:pPr>
        <w:rPr>
          <w:rFonts w:ascii="Verdana" w:eastAsia="Verdana" w:hAnsi="Verdana" w:cs="Verdana"/>
          <w:b/>
          <w:color w:val="303436"/>
          <w:sz w:val="29"/>
          <w:szCs w:val="29"/>
          <w:u w:val="single"/>
        </w:rPr>
      </w:pPr>
    </w:p>
    <w:p w14:paraId="557F7893" w14:textId="77777777" w:rsidR="009409D7" w:rsidRDefault="00000000">
      <w:pPr>
        <w:numPr>
          <w:ilvl w:val="0"/>
          <w:numId w:val="4"/>
        </w:numPr>
        <w:rPr>
          <w:rFonts w:ascii="Verdana" w:eastAsia="Verdana" w:hAnsi="Verdana" w:cs="Verdana"/>
          <w:b/>
          <w:color w:val="303436"/>
          <w:sz w:val="29"/>
          <w:szCs w:val="29"/>
        </w:rPr>
      </w:pPr>
      <w:r>
        <w:rPr>
          <w:rFonts w:ascii="Verdana" w:eastAsia="Verdana" w:hAnsi="Verdana" w:cs="Verdana"/>
          <w:b/>
          <w:color w:val="303436"/>
          <w:sz w:val="29"/>
          <w:szCs w:val="29"/>
        </w:rPr>
        <w:t>52 Week High/Low</w:t>
      </w:r>
    </w:p>
    <w:p w14:paraId="1641719A" w14:textId="77777777" w:rsidR="009409D7" w:rsidRDefault="00000000">
      <w:pPr>
        <w:rPr>
          <w:rFonts w:ascii="Verdana" w:eastAsia="Verdana" w:hAnsi="Verdana" w:cs="Verdana"/>
          <w:b/>
          <w:color w:val="303436"/>
          <w:sz w:val="29"/>
          <w:szCs w:val="29"/>
        </w:rPr>
      </w:pPr>
      <w:r>
        <w:rPr>
          <w:rFonts w:ascii="Verdana" w:eastAsia="Verdana" w:hAnsi="Verdana" w:cs="Verdana"/>
          <w:b/>
          <w:color w:val="303436"/>
          <w:sz w:val="29"/>
          <w:szCs w:val="29"/>
        </w:rPr>
        <w:tab/>
      </w:r>
    </w:p>
    <w:p w14:paraId="67AFDE62" w14:textId="77777777" w:rsidR="009409D7" w:rsidRDefault="00000000">
      <w:pPr>
        <w:rPr>
          <w:color w:val="303436"/>
          <w:sz w:val="24"/>
          <w:szCs w:val="24"/>
        </w:rPr>
      </w:pPr>
      <w:r>
        <w:rPr>
          <w:rFonts w:ascii="Verdana" w:eastAsia="Verdana" w:hAnsi="Verdana" w:cs="Verdana"/>
          <w:b/>
          <w:color w:val="303436"/>
          <w:sz w:val="29"/>
          <w:szCs w:val="29"/>
        </w:rPr>
        <w:tab/>
      </w:r>
      <w:r>
        <w:rPr>
          <w:color w:val="303436"/>
          <w:sz w:val="24"/>
          <w:szCs w:val="24"/>
        </w:rPr>
        <w:t>This may be the simplest technical indicator you can find.</w:t>
      </w:r>
    </w:p>
    <w:p w14:paraId="60F353B4" w14:textId="77777777" w:rsidR="009409D7" w:rsidRDefault="00000000">
      <w:pPr>
        <w:shd w:val="clear" w:color="auto" w:fill="DCDAD7"/>
        <w:spacing w:before="400" w:after="400"/>
        <w:rPr>
          <w:color w:val="303436"/>
          <w:sz w:val="24"/>
          <w:szCs w:val="24"/>
        </w:rPr>
      </w:pPr>
      <w:r>
        <w:rPr>
          <w:color w:val="303436"/>
          <w:sz w:val="24"/>
          <w:szCs w:val="24"/>
        </w:rPr>
        <w:t xml:space="preserve">The </w:t>
      </w:r>
      <w:hyperlink r:id="rId49">
        <w:r>
          <w:rPr>
            <w:color w:val="3D93B9"/>
            <w:sz w:val="24"/>
            <w:szCs w:val="24"/>
          </w:rPr>
          <w:t>52-Week</w:t>
        </w:r>
      </w:hyperlink>
      <w:r>
        <w:rPr>
          <w:color w:val="303436"/>
          <w:sz w:val="24"/>
          <w:szCs w:val="24"/>
        </w:rPr>
        <w:t xml:space="preserve"> High measures the highest price that a stock has traded for in the past year. The low measures its lowest point over that same time period.</w:t>
      </w:r>
    </w:p>
    <w:p w14:paraId="71DF1520" w14:textId="77777777" w:rsidR="009409D7" w:rsidRDefault="00000000">
      <w:pPr>
        <w:shd w:val="clear" w:color="auto" w:fill="DCDAD7"/>
        <w:spacing w:before="400" w:after="400"/>
        <w:rPr>
          <w:color w:val="303436"/>
          <w:sz w:val="24"/>
          <w:szCs w:val="24"/>
        </w:rPr>
      </w:pPr>
      <w:r>
        <w:rPr>
          <w:color w:val="303436"/>
          <w:sz w:val="24"/>
          <w:szCs w:val="24"/>
        </w:rPr>
        <w:t xml:space="preserve">Investors use this to establish what is known as support and resistance bands. A support band is a low point, where you expect downward trading to slow down or halt. A resistance band is a high point, where you expect upward trading to slow down or halt. While simple, it’s common for investors to avoid trading significantly above a stock’s 52-Week High or below its 52-Week Low. This can give investors a way to </w:t>
      </w:r>
      <w:hyperlink r:id="rId50">
        <w:r>
          <w:rPr>
            <w:color w:val="3D93B9"/>
            <w:sz w:val="24"/>
            <w:szCs w:val="24"/>
          </w:rPr>
          <w:t>predict trading</w:t>
        </w:r>
      </w:hyperlink>
      <w:r>
        <w:rPr>
          <w:color w:val="303436"/>
          <w:sz w:val="24"/>
          <w:szCs w:val="24"/>
        </w:rPr>
        <w:t xml:space="preserve"> as they approach those points.</w:t>
      </w:r>
    </w:p>
    <w:p w14:paraId="163A6CAE" w14:textId="77777777" w:rsidR="009409D7" w:rsidRDefault="009409D7">
      <w:pPr>
        <w:rPr>
          <w:rFonts w:ascii="Verdana" w:eastAsia="Verdana" w:hAnsi="Verdana" w:cs="Verdana"/>
          <w:b/>
          <w:color w:val="303436"/>
          <w:sz w:val="29"/>
          <w:szCs w:val="29"/>
        </w:rPr>
      </w:pPr>
    </w:p>
    <w:p w14:paraId="5A681305" w14:textId="77777777" w:rsidR="009409D7" w:rsidRDefault="00000000">
      <w:pPr>
        <w:numPr>
          <w:ilvl w:val="0"/>
          <w:numId w:val="4"/>
        </w:numPr>
        <w:rPr>
          <w:rFonts w:ascii="Verdana" w:eastAsia="Verdana" w:hAnsi="Verdana" w:cs="Verdana"/>
          <w:b/>
          <w:color w:val="303436"/>
          <w:sz w:val="29"/>
          <w:szCs w:val="29"/>
        </w:rPr>
      </w:pPr>
      <w:r>
        <w:rPr>
          <w:rFonts w:ascii="Verdana" w:eastAsia="Verdana" w:hAnsi="Verdana" w:cs="Verdana"/>
          <w:b/>
          <w:color w:val="303436"/>
          <w:sz w:val="29"/>
          <w:szCs w:val="29"/>
        </w:rPr>
        <w:t>P/E Ratio(Price to Earnings Ratio)</w:t>
      </w:r>
    </w:p>
    <w:p w14:paraId="65AE8F6A" w14:textId="77777777" w:rsidR="009409D7" w:rsidRDefault="009409D7">
      <w:pPr>
        <w:ind w:left="720"/>
        <w:rPr>
          <w:rFonts w:ascii="Verdana" w:eastAsia="Verdana" w:hAnsi="Verdana" w:cs="Verdana"/>
          <w:b/>
          <w:color w:val="303436"/>
          <w:sz w:val="29"/>
          <w:szCs w:val="29"/>
        </w:rPr>
      </w:pPr>
    </w:p>
    <w:p w14:paraId="74C0C539" w14:textId="77777777" w:rsidR="009409D7" w:rsidRDefault="00000000">
      <w:pPr>
        <w:ind w:left="720"/>
        <w:rPr>
          <w:rFonts w:ascii="Verdana" w:eastAsia="Verdana" w:hAnsi="Verdana" w:cs="Verdana"/>
          <w:b/>
          <w:color w:val="303436"/>
          <w:sz w:val="29"/>
          <w:szCs w:val="29"/>
        </w:rPr>
      </w:pPr>
      <w:r>
        <w:rPr>
          <w:rFonts w:ascii="Verdana" w:eastAsia="Verdana" w:hAnsi="Verdana" w:cs="Verdana"/>
          <w:b/>
          <w:color w:val="303436"/>
          <w:sz w:val="29"/>
          <w:szCs w:val="29"/>
        </w:rPr>
        <w:t>P/E=Share price/Earnings per share</w:t>
      </w:r>
    </w:p>
    <w:p w14:paraId="225B153E" w14:textId="77777777" w:rsidR="009409D7" w:rsidRDefault="00000000">
      <w:pPr>
        <w:shd w:val="clear" w:color="auto" w:fill="DCDAD7"/>
        <w:spacing w:before="200" w:after="400"/>
        <w:rPr>
          <w:color w:val="303436"/>
          <w:sz w:val="24"/>
          <w:szCs w:val="24"/>
        </w:rPr>
      </w:pPr>
      <w:r>
        <w:rPr>
          <w:color w:val="303436"/>
          <w:sz w:val="24"/>
          <w:szCs w:val="24"/>
        </w:rPr>
        <w:t xml:space="preserve">A </w:t>
      </w:r>
      <w:hyperlink r:id="rId51">
        <w:r>
          <w:rPr>
            <w:color w:val="3D93B9"/>
            <w:sz w:val="24"/>
            <w:szCs w:val="24"/>
          </w:rPr>
          <w:t>price-to-earnings ratio</w:t>
        </w:r>
      </w:hyperlink>
      <w:r>
        <w:rPr>
          <w:color w:val="303436"/>
          <w:sz w:val="24"/>
          <w:szCs w:val="24"/>
        </w:rPr>
        <w:t xml:space="preserve"> compares the stock’s share price against the underlying company’s earnings-per-share (or EPS). It measures how much you’re paying for every dollar of earnings that the company makes. </w:t>
      </w:r>
      <w:r>
        <w:rPr>
          <w:b/>
          <w:color w:val="303436"/>
          <w:sz w:val="24"/>
          <w:szCs w:val="24"/>
        </w:rPr>
        <w:t>For example, say a stock has a P/E Ratio of 10. This means that if you buy a share of this stock, you’re paying $10 for every $1 of underlying earnings that share represents</w:t>
      </w:r>
      <w:r>
        <w:rPr>
          <w:color w:val="303436"/>
          <w:sz w:val="24"/>
          <w:szCs w:val="24"/>
        </w:rPr>
        <w:t>.</w:t>
      </w:r>
    </w:p>
    <w:p w14:paraId="1B4AB6FB" w14:textId="77777777" w:rsidR="009409D7" w:rsidRDefault="00000000">
      <w:pPr>
        <w:shd w:val="clear" w:color="auto" w:fill="DCDAD7"/>
        <w:spacing w:before="400" w:after="400"/>
        <w:rPr>
          <w:color w:val="303436"/>
          <w:sz w:val="24"/>
          <w:szCs w:val="24"/>
        </w:rPr>
      </w:pPr>
      <w:r>
        <w:rPr>
          <w:color w:val="303436"/>
          <w:sz w:val="24"/>
          <w:szCs w:val="24"/>
        </w:rPr>
        <w:t xml:space="preserve">Investors use the </w:t>
      </w:r>
      <w:hyperlink r:id="rId52">
        <w:r>
          <w:rPr>
            <w:color w:val="3D93B9"/>
            <w:sz w:val="24"/>
            <w:szCs w:val="24"/>
          </w:rPr>
          <w:t>P/E Ratio</w:t>
        </w:r>
      </w:hyperlink>
      <w:r>
        <w:rPr>
          <w:color w:val="303436"/>
          <w:sz w:val="24"/>
          <w:szCs w:val="24"/>
        </w:rPr>
        <w:t xml:space="preserve"> to determine if a stock is overbought or oversold. When the ratio gets too high, it generally indicates that the stock is getting too expensive relative to the amount of value you’re getting. Investors will probably start to sell fairly soon. By contrast, a low P/E Ratio indicates that investors can get a lot of value for their money. You might expect people to begin buying.</w:t>
      </w:r>
    </w:p>
    <w:p w14:paraId="1C5A6B4A" w14:textId="77777777" w:rsidR="009409D7" w:rsidRDefault="00000000">
      <w:pPr>
        <w:numPr>
          <w:ilvl w:val="0"/>
          <w:numId w:val="4"/>
        </w:numPr>
        <w:rPr>
          <w:rFonts w:ascii="Verdana" w:eastAsia="Verdana" w:hAnsi="Verdana" w:cs="Verdana"/>
          <w:b/>
          <w:color w:val="303436"/>
          <w:sz w:val="29"/>
          <w:szCs w:val="29"/>
        </w:rPr>
      </w:pPr>
      <w:r>
        <w:rPr>
          <w:rFonts w:ascii="Verdana" w:eastAsia="Verdana" w:hAnsi="Verdana" w:cs="Verdana"/>
          <w:b/>
          <w:color w:val="303436"/>
          <w:sz w:val="29"/>
          <w:szCs w:val="29"/>
          <w:u w:val="single"/>
        </w:rPr>
        <w:t>Moving Averages</w:t>
      </w:r>
    </w:p>
    <w:p w14:paraId="53D2C0E3" w14:textId="77777777" w:rsidR="009409D7" w:rsidRDefault="009409D7">
      <w:pPr>
        <w:rPr>
          <w:rFonts w:ascii="Verdana" w:eastAsia="Verdana" w:hAnsi="Verdana" w:cs="Verdana"/>
          <w:b/>
          <w:color w:val="303436"/>
          <w:sz w:val="29"/>
          <w:szCs w:val="29"/>
        </w:rPr>
      </w:pPr>
    </w:p>
    <w:p w14:paraId="573E977C" w14:textId="77777777" w:rsidR="009409D7" w:rsidRDefault="00000000">
      <w:pPr>
        <w:rPr>
          <w:color w:val="242729"/>
          <w:sz w:val="25"/>
          <w:szCs w:val="25"/>
        </w:rPr>
      </w:pPr>
      <w:r>
        <w:rPr>
          <w:rFonts w:ascii="Verdana" w:eastAsia="Verdana" w:hAnsi="Verdana" w:cs="Verdana"/>
          <w:b/>
          <w:color w:val="303436"/>
          <w:sz w:val="29"/>
          <w:szCs w:val="29"/>
        </w:rPr>
        <w:tab/>
      </w:r>
      <w:r>
        <w:rPr>
          <w:color w:val="242729"/>
          <w:sz w:val="25"/>
          <w:szCs w:val="25"/>
        </w:rPr>
        <w:t>Moving average is a technical analysis tool that smooths out price data by creating a constantly updated average price. On a price chart, a moving average creates a single, flat line that effectively eliminates any variations due to random price fluctuations.</w:t>
      </w:r>
    </w:p>
    <w:p w14:paraId="174653C7" w14:textId="77777777" w:rsidR="009409D7" w:rsidRDefault="00000000">
      <w:pPr>
        <w:shd w:val="clear" w:color="auto" w:fill="DCDAD7"/>
        <w:spacing w:after="420"/>
        <w:rPr>
          <w:color w:val="242729"/>
          <w:sz w:val="25"/>
          <w:szCs w:val="25"/>
        </w:rPr>
      </w:pPr>
      <w:r>
        <w:rPr>
          <w:color w:val="242729"/>
          <w:sz w:val="25"/>
          <w:szCs w:val="25"/>
        </w:rPr>
        <w:t xml:space="preserve">The average is taken over a specific period of time–10 days, 20 minutes, 30 weeks, or any time period the trader chooses. For investors and long-term trend followers, the 200-day, 100-day, and 50-day </w:t>
      </w:r>
      <w:hyperlink r:id="rId53">
        <w:r>
          <w:rPr>
            <w:color w:val="3D4BB4"/>
            <w:sz w:val="25"/>
            <w:szCs w:val="25"/>
            <w:u w:val="single"/>
          </w:rPr>
          <w:t>simple moving average</w:t>
        </w:r>
      </w:hyperlink>
      <w:r>
        <w:rPr>
          <w:color w:val="242729"/>
          <w:sz w:val="25"/>
          <w:szCs w:val="25"/>
        </w:rPr>
        <w:t xml:space="preserve"> are popular choices.</w:t>
      </w:r>
    </w:p>
    <w:p w14:paraId="0008CA12" w14:textId="77777777" w:rsidR="009409D7" w:rsidRDefault="00000000">
      <w:pPr>
        <w:shd w:val="clear" w:color="auto" w:fill="DCDAD7"/>
        <w:spacing w:after="420"/>
        <w:rPr>
          <w:color w:val="242729"/>
          <w:sz w:val="25"/>
          <w:szCs w:val="25"/>
        </w:rPr>
      </w:pPr>
      <w:r>
        <w:rPr>
          <w:color w:val="242729"/>
          <w:sz w:val="25"/>
          <w:szCs w:val="25"/>
        </w:rPr>
        <w:t xml:space="preserve">There are several ways to utilize the moving average. The first is to look at the angle of the moving average. If it is mostly moving horizontally for an extended amount of time, then the </w:t>
      </w:r>
      <w:r>
        <w:rPr>
          <w:color w:val="242729"/>
          <w:sz w:val="25"/>
          <w:szCs w:val="25"/>
        </w:rPr>
        <w:lastRenderedPageBreak/>
        <w:t xml:space="preserve">price isn't </w:t>
      </w:r>
      <w:hyperlink r:id="rId54">
        <w:r>
          <w:rPr>
            <w:color w:val="3D4BB4"/>
            <w:sz w:val="25"/>
            <w:szCs w:val="25"/>
            <w:u w:val="single"/>
          </w:rPr>
          <w:t>trending</w:t>
        </w:r>
      </w:hyperlink>
      <w:r>
        <w:rPr>
          <w:color w:val="242729"/>
          <w:sz w:val="25"/>
          <w:szCs w:val="25"/>
        </w:rPr>
        <w:t xml:space="preserve">, it is </w:t>
      </w:r>
      <w:hyperlink r:id="rId55">
        <w:r>
          <w:rPr>
            <w:color w:val="3D4BB4"/>
            <w:sz w:val="25"/>
            <w:szCs w:val="25"/>
            <w:u w:val="single"/>
          </w:rPr>
          <w:t>ranging</w:t>
        </w:r>
      </w:hyperlink>
      <w:r>
        <w:rPr>
          <w:color w:val="242729"/>
          <w:sz w:val="25"/>
          <w:szCs w:val="25"/>
        </w:rPr>
        <w:t>. A trading range occurs when a security trades between consistent high and low prices for a period of time.</w:t>
      </w:r>
    </w:p>
    <w:p w14:paraId="6C3CC0AB" w14:textId="77777777" w:rsidR="009409D7" w:rsidRDefault="00000000">
      <w:pPr>
        <w:shd w:val="clear" w:color="auto" w:fill="DCDAD7"/>
        <w:spacing w:after="420"/>
        <w:rPr>
          <w:color w:val="242729"/>
          <w:sz w:val="25"/>
          <w:szCs w:val="25"/>
        </w:rPr>
      </w:pPr>
      <w:r>
        <w:rPr>
          <w:color w:val="242729"/>
          <w:sz w:val="25"/>
          <w:szCs w:val="25"/>
        </w:rPr>
        <w:t xml:space="preserve">If the moving average line is angled up, an </w:t>
      </w:r>
      <w:hyperlink r:id="rId56">
        <w:r>
          <w:rPr>
            <w:color w:val="3D4BB4"/>
            <w:sz w:val="25"/>
            <w:szCs w:val="25"/>
            <w:u w:val="single"/>
          </w:rPr>
          <w:t>uptrend</w:t>
        </w:r>
      </w:hyperlink>
      <w:r>
        <w:rPr>
          <w:color w:val="242729"/>
          <w:sz w:val="25"/>
          <w:szCs w:val="25"/>
        </w:rPr>
        <w:t xml:space="preserve"> is underway. However, moving averages don't make predictions about the future value of a stock; they simply reveal what the price is doing, on average, over a period of time.</w:t>
      </w:r>
    </w:p>
    <w:p w14:paraId="71B85FCC" w14:textId="77777777" w:rsidR="009409D7" w:rsidRDefault="00000000">
      <w:pPr>
        <w:shd w:val="clear" w:color="auto" w:fill="DCDAD7"/>
        <w:spacing w:after="420"/>
        <w:rPr>
          <w:color w:val="242729"/>
          <w:sz w:val="25"/>
          <w:szCs w:val="25"/>
        </w:rPr>
      </w:pPr>
      <w:hyperlink r:id="rId57">
        <w:r>
          <w:rPr>
            <w:color w:val="3D4BB4"/>
            <w:sz w:val="25"/>
            <w:szCs w:val="25"/>
            <w:u w:val="single"/>
          </w:rPr>
          <w:t>Crossovers</w:t>
        </w:r>
      </w:hyperlink>
      <w:r>
        <w:rPr>
          <w:color w:val="242729"/>
          <w:sz w:val="25"/>
          <w:szCs w:val="25"/>
        </w:rPr>
        <w:t xml:space="preserve"> are another way to utilize moving averages. By plotting a 200-day and 50-day moving average on your chart, a </w:t>
      </w:r>
      <w:hyperlink r:id="rId58">
        <w:r>
          <w:rPr>
            <w:color w:val="3D4BB4"/>
            <w:sz w:val="25"/>
            <w:szCs w:val="25"/>
            <w:u w:val="single"/>
          </w:rPr>
          <w:t>buy signal</w:t>
        </w:r>
      </w:hyperlink>
      <w:r>
        <w:rPr>
          <w:color w:val="242729"/>
          <w:sz w:val="25"/>
          <w:szCs w:val="25"/>
        </w:rPr>
        <w:t xml:space="preserve"> occurs when the 50-day crosses above the 200-day. A sell signal occurs when the 50-day drops below the 200-day.The time frames can be altered to suit your individual trading timeframe.</w:t>
      </w:r>
    </w:p>
    <w:p w14:paraId="49401084" w14:textId="77777777" w:rsidR="009409D7" w:rsidRDefault="00000000">
      <w:pPr>
        <w:shd w:val="clear" w:color="auto" w:fill="DCDAD7"/>
        <w:spacing w:after="420"/>
        <w:rPr>
          <w:b/>
          <w:color w:val="484E51"/>
          <w:sz w:val="27"/>
          <w:szCs w:val="27"/>
          <w:shd w:val="clear" w:color="auto" w:fill="DCDAD7"/>
        </w:rPr>
      </w:pPr>
      <w:r>
        <w:rPr>
          <w:noProof/>
          <w:color w:val="242729"/>
          <w:sz w:val="25"/>
          <w:szCs w:val="25"/>
        </w:rPr>
        <w:drawing>
          <wp:inline distT="114300" distB="114300" distL="114300" distR="114300" wp14:anchorId="552F520D" wp14:editId="136BAE18">
            <wp:extent cx="6645600" cy="52070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9"/>
                    <a:srcRect/>
                    <a:stretch>
                      <a:fillRect/>
                    </a:stretch>
                  </pic:blipFill>
                  <pic:spPr>
                    <a:xfrm>
                      <a:off x="0" y="0"/>
                      <a:ext cx="6645600" cy="5207000"/>
                    </a:xfrm>
                    <a:prstGeom prst="rect">
                      <a:avLst/>
                    </a:prstGeom>
                    <a:ln/>
                  </pic:spPr>
                </pic:pic>
              </a:graphicData>
            </a:graphic>
          </wp:inline>
        </w:drawing>
      </w:r>
    </w:p>
    <w:p w14:paraId="39C67816" w14:textId="77777777" w:rsidR="009409D7" w:rsidRDefault="00000000">
      <w:pPr>
        <w:shd w:val="clear" w:color="auto" w:fill="DCDAD7"/>
        <w:spacing w:after="420"/>
        <w:rPr>
          <w:color w:val="242729"/>
          <w:sz w:val="25"/>
          <w:szCs w:val="25"/>
        </w:rPr>
      </w:pPr>
      <w:r>
        <w:rPr>
          <w:color w:val="242729"/>
          <w:sz w:val="25"/>
          <w:szCs w:val="25"/>
        </w:rPr>
        <w:t>When the price crosses above a moving average, it can also be used as a buy signal, and when the price crosses below a moving average, it can be used as a sell signal.</w:t>
      </w:r>
    </w:p>
    <w:p w14:paraId="0DF9BF8F" w14:textId="77777777" w:rsidR="009409D7" w:rsidRDefault="00000000">
      <w:pPr>
        <w:shd w:val="clear" w:color="auto" w:fill="DCDAD7"/>
        <w:spacing w:after="420"/>
        <w:rPr>
          <w:color w:val="242729"/>
          <w:sz w:val="25"/>
          <w:szCs w:val="25"/>
        </w:rPr>
      </w:pPr>
      <w:r>
        <w:rPr>
          <w:noProof/>
          <w:color w:val="242729"/>
          <w:sz w:val="25"/>
          <w:szCs w:val="25"/>
        </w:rPr>
        <w:lastRenderedPageBreak/>
        <w:drawing>
          <wp:inline distT="114300" distB="114300" distL="114300" distR="114300" wp14:anchorId="25027B61" wp14:editId="6B43F59A">
            <wp:extent cx="6645600" cy="47625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0"/>
                    <a:srcRect/>
                    <a:stretch>
                      <a:fillRect/>
                    </a:stretch>
                  </pic:blipFill>
                  <pic:spPr>
                    <a:xfrm>
                      <a:off x="0" y="0"/>
                      <a:ext cx="6645600" cy="4762500"/>
                    </a:xfrm>
                    <a:prstGeom prst="rect">
                      <a:avLst/>
                    </a:prstGeom>
                    <a:ln/>
                  </pic:spPr>
                </pic:pic>
              </a:graphicData>
            </a:graphic>
          </wp:inline>
        </w:drawing>
      </w:r>
    </w:p>
    <w:p w14:paraId="41368314" w14:textId="77777777" w:rsidR="009409D7" w:rsidRDefault="00000000">
      <w:pPr>
        <w:shd w:val="clear" w:color="auto" w:fill="DCDAD7"/>
        <w:spacing w:after="420"/>
        <w:rPr>
          <w:color w:val="242729"/>
          <w:sz w:val="25"/>
          <w:szCs w:val="25"/>
        </w:rPr>
      </w:pPr>
      <w:r>
        <w:rPr>
          <w:color w:val="242729"/>
          <w:sz w:val="25"/>
          <w:szCs w:val="25"/>
        </w:rPr>
        <w:t xml:space="preserve">However, since the price is more volatile than the moving average, this method is prone to more </w:t>
      </w:r>
      <w:hyperlink r:id="rId61">
        <w:r>
          <w:rPr>
            <w:color w:val="3D4BB4"/>
            <w:sz w:val="25"/>
            <w:szCs w:val="25"/>
            <w:u w:val="single"/>
          </w:rPr>
          <w:t>false signals</w:t>
        </w:r>
      </w:hyperlink>
      <w:r>
        <w:rPr>
          <w:color w:val="242729"/>
          <w:sz w:val="25"/>
          <w:szCs w:val="25"/>
        </w:rPr>
        <w:t>, as the chart above shows.</w:t>
      </w:r>
    </w:p>
    <w:p w14:paraId="634F5D98" w14:textId="77777777" w:rsidR="009409D7" w:rsidRDefault="00000000">
      <w:pPr>
        <w:shd w:val="clear" w:color="auto" w:fill="DCDAD7"/>
        <w:spacing w:after="420"/>
        <w:rPr>
          <w:rFonts w:ascii="Verdana" w:eastAsia="Verdana" w:hAnsi="Verdana" w:cs="Verdana"/>
          <w:color w:val="303436"/>
          <w:sz w:val="27"/>
          <w:szCs w:val="27"/>
        </w:rPr>
      </w:pPr>
      <w:r>
        <w:rPr>
          <w:color w:val="242729"/>
          <w:sz w:val="25"/>
          <w:szCs w:val="25"/>
        </w:rPr>
        <w:t>Moving averages can also provide support or resistance to the price.</w:t>
      </w:r>
      <w:r>
        <w:rPr>
          <w:color w:val="3D3DA9"/>
          <w:sz w:val="25"/>
          <w:szCs w:val="25"/>
        </w:rPr>
        <w:t>1</w:t>
      </w:r>
      <w:r>
        <w:rPr>
          <w:color w:val="242729"/>
          <w:sz w:val="25"/>
          <w:szCs w:val="25"/>
        </w:rPr>
        <w:t xml:space="preserve"> The chart below shows a 100-day moving average acting as </w:t>
      </w:r>
      <w:hyperlink r:id="rId62">
        <w:r>
          <w:rPr>
            <w:color w:val="3D4BB4"/>
            <w:sz w:val="25"/>
            <w:szCs w:val="25"/>
            <w:u w:val="single"/>
          </w:rPr>
          <w:t>support</w:t>
        </w:r>
      </w:hyperlink>
      <w:r>
        <w:rPr>
          <w:color w:val="242729"/>
          <w:sz w:val="25"/>
          <w:szCs w:val="25"/>
        </w:rPr>
        <w:t xml:space="preserve"> (i.e., the price bounces off of it).</w:t>
      </w:r>
    </w:p>
    <w:p w14:paraId="76C68D6C" w14:textId="77777777" w:rsidR="009409D7" w:rsidRDefault="009409D7">
      <w:pPr>
        <w:rPr>
          <w:rFonts w:ascii="Verdana" w:eastAsia="Verdana" w:hAnsi="Verdana" w:cs="Verdana"/>
          <w:b/>
          <w:color w:val="303436"/>
          <w:sz w:val="23"/>
          <w:szCs w:val="23"/>
          <w:u w:val="single"/>
        </w:rPr>
      </w:pPr>
    </w:p>
    <w:p w14:paraId="3A2C5614" w14:textId="77777777" w:rsidR="009409D7" w:rsidRDefault="00000000">
      <w:pPr>
        <w:numPr>
          <w:ilvl w:val="0"/>
          <w:numId w:val="4"/>
        </w:numPr>
        <w:rPr>
          <w:rFonts w:ascii="Verdana" w:eastAsia="Verdana" w:hAnsi="Verdana" w:cs="Verdana"/>
          <w:b/>
          <w:color w:val="303436"/>
          <w:sz w:val="27"/>
          <w:szCs w:val="27"/>
        </w:rPr>
      </w:pPr>
      <w:r>
        <w:rPr>
          <w:rFonts w:ascii="Verdana" w:eastAsia="Verdana" w:hAnsi="Verdana" w:cs="Verdana"/>
          <w:b/>
          <w:color w:val="303436"/>
          <w:sz w:val="27"/>
          <w:szCs w:val="27"/>
          <w:u w:val="single"/>
        </w:rPr>
        <w:t>Relative Strength Index(RSI)</w:t>
      </w:r>
    </w:p>
    <w:p w14:paraId="51EF2231" w14:textId="77777777" w:rsidR="009409D7" w:rsidRDefault="009409D7">
      <w:pPr>
        <w:ind w:left="720"/>
        <w:rPr>
          <w:rFonts w:ascii="Verdana" w:eastAsia="Verdana" w:hAnsi="Verdana" w:cs="Verdana"/>
          <w:b/>
          <w:color w:val="303436"/>
          <w:sz w:val="27"/>
          <w:szCs w:val="27"/>
          <w:u w:val="single"/>
        </w:rPr>
      </w:pPr>
    </w:p>
    <w:p w14:paraId="5DFFA557" w14:textId="77777777" w:rsidR="009409D7" w:rsidRDefault="00000000">
      <w:pPr>
        <w:rPr>
          <w:color w:val="111111"/>
          <w:sz w:val="25"/>
          <w:szCs w:val="25"/>
          <w:highlight w:val="white"/>
        </w:rPr>
      </w:pPr>
      <w:r>
        <w:rPr>
          <w:color w:val="111111"/>
          <w:sz w:val="25"/>
          <w:szCs w:val="25"/>
          <w:highlight w:val="white"/>
        </w:rPr>
        <w:t xml:space="preserve">The </w:t>
      </w:r>
      <w:hyperlink r:id="rId63">
        <w:r>
          <w:rPr>
            <w:color w:val="2C40D0"/>
            <w:sz w:val="25"/>
            <w:szCs w:val="25"/>
            <w:highlight w:val="white"/>
            <w:u w:val="single"/>
          </w:rPr>
          <w:t>relative strength index</w:t>
        </w:r>
      </w:hyperlink>
      <w:r>
        <w:rPr>
          <w:color w:val="111111"/>
          <w:sz w:val="25"/>
          <w:szCs w:val="25"/>
          <w:highlight w:val="white"/>
        </w:rPr>
        <w:t xml:space="preserve"> (RSI) has at least three major uses. The indicator moves between zero and 100, plotting recent price gains versus recent price losses. The RSI levels therefore help in gauging momentum and trend strength. </w:t>
      </w:r>
    </w:p>
    <w:p w14:paraId="3376D7E4" w14:textId="77777777" w:rsidR="009409D7" w:rsidRDefault="009409D7">
      <w:pPr>
        <w:rPr>
          <w:color w:val="111111"/>
          <w:sz w:val="25"/>
          <w:szCs w:val="25"/>
          <w:highlight w:val="white"/>
        </w:rPr>
      </w:pPr>
    </w:p>
    <w:p w14:paraId="71452522" w14:textId="77777777" w:rsidR="009409D7" w:rsidRDefault="00000000">
      <w:pPr>
        <w:rPr>
          <w:color w:val="111111"/>
          <w:sz w:val="25"/>
          <w:szCs w:val="25"/>
          <w:highlight w:val="white"/>
        </w:rPr>
      </w:pPr>
      <w:r>
        <w:rPr>
          <w:color w:val="111111"/>
          <w:sz w:val="25"/>
          <w:szCs w:val="25"/>
          <w:highlight w:val="white"/>
        </w:rPr>
        <w:t xml:space="preserve">The most basic use of an RSI is as an </w:t>
      </w:r>
      <w:hyperlink r:id="rId64">
        <w:r>
          <w:rPr>
            <w:color w:val="2C40D0"/>
            <w:sz w:val="25"/>
            <w:szCs w:val="25"/>
            <w:highlight w:val="white"/>
            <w:u w:val="single"/>
          </w:rPr>
          <w:t>overbought</w:t>
        </w:r>
      </w:hyperlink>
      <w:r>
        <w:rPr>
          <w:color w:val="111111"/>
          <w:sz w:val="25"/>
          <w:szCs w:val="25"/>
          <w:highlight w:val="white"/>
        </w:rPr>
        <w:t xml:space="preserve"> and </w:t>
      </w:r>
      <w:hyperlink r:id="rId65">
        <w:r>
          <w:rPr>
            <w:color w:val="2C40D0"/>
            <w:sz w:val="25"/>
            <w:szCs w:val="25"/>
            <w:highlight w:val="white"/>
            <w:u w:val="single"/>
          </w:rPr>
          <w:t>oversold</w:t>
        </w:r>
      </w:hyperlink>
      <w:r>
        <w:rPr>
          <w:color w:val="111111"/>
          <w:sz w:val="25"/>
          <w:szCs w:val="25"/>
          <w:highlight w:val="white"/>
        </w:rPr>
        <w:t xml:space="preserve"> indicator. When RSI moves above 70, the asset is considered overbought and could decline. When the RSI is below 30, the asset is oversold and could rally. However, making this assumption is dangerous; therefore, some traders wait for the indicator to rise above 70 and then drop below before selling, or drop below 30 and then rise back above before buying. </w:t>
      </w:r>
    </w:p>
    <w:p w14:paraId="04AE8B5B" w14:textId="77777777" w:rsidR="009409D7" w:rsidRDefault="009409D7">
      <w:pPr>
        <w:rPr>
          <w:color w:val="111111"/>
          <w:sz w:val="25"/>
          <w:szCs w:val="25"/>
          <w:highlight w:val="white"/>
        </w:rPr>
      </w:pPr>
    </w:p>
    <w:p w14:paraId="3724DB3B" w14:textId="77777777" w:rsidR="009409D7" w:rsidRDefault="00000000">
      <w:pPr>
        <w:rPr>
          <w:color w:val="111111"/>
          <w:sz w:val="25"/>
          <w:szCs w:val="25"/>
          <w:highlight w:val="white"/>
        </w:rPr>
      </w:pPr>
      <w:r>
        <w:rPr>
          <w:color w:val="111111"/>
          <w:sz w:val="25"/>
          <w:szCs w:val="25"/>
          <w:highlight w:val="white"/>
        </w:rPr>
        <w:t>Divergence is another use of the RSI. When the indicator is moving in a different direction than the price, it shows that the current price trend is weakening and could soon reverse.</w:t>
      </w:r>
    </w:p>
    <w:p w14:paraId="1BFB309D" w14:textId="77777777" w:rsidR="009409D7" w:rsidRDefault="00000000">
      <w:pPr>
        <w:rPr>
          <w:color w:val="111111"/>
          <w:sz w:val="25"/>
          <w:szCs w:val="25"/>
          <w:highlight w:val="white"/>
        </w:rPr>
      </w:pPr>
      <w:r>
        <w:rPr>
          <w:color w:val="111111"/>
          <w:sz w:val="25"/>
          <w:szCs w:val="25"/>
          <w:highlight w:val="white"/>
        </w:rPr>
        <w:lastRenderedPageBreak/>
        <w:t>A third use for the RSI is support and resistance levels. During uptrends, a stock will often hold above the 30 level and frequently reach 70 or above. When a stock is in a downtrend, the RSI will typically hold below 70 and frequently reach 30 or below.</w:t>
      </w:r>
    </w:p>
    <w:p w14:paraId="0E84CA22" w14:textId="77777777" w:rsidR="009409D7" w:rsidRDefault="00000000">
      <w:pPr>
        <w:rPr>
          <w:color w:val="111111"/>
          <w:sz w:val="27"/>
          <w:szCs w:val="27"/>
          <w:highlight w:val="white"/>
        </w:rPr>
      </w:pPr>
      <w:r>
        <w:rPr>
          <w:noProof/>
          <w:color w:val="111111"/>
          <w:sz w:val="27"/>
          <w:szCs w:val="27"/>
          <w:highlight w:val="white"/>
        </w:rPr>
        <w:drawing>
          <wp:inline distT="114300" distB="114300" distL="114300" distR="114300" wp14:anchorId="29320C15" wp14:editId="00065447">
            <wp:extent cx="6645600" cy="482600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6"/>
                    <a:srcRect/>
                    <a:stretch>
                      <a:fillRect/>
                    </a:stretch>
                  </pic:blipFill>
                  <pic:spPr>
                    <a:xfrm>
                      <a:off x="0" y="0"/>
                      <a:ext cx="6645600" cy="4826000"/>
                    </a:xfrm>
                    <a:prstGeom prst="rect">
                      <a:avLst/>
                    </a:prstGeom>
                    <a:ln/>
                  </pic:spPr>
                </pic:pic>
              </a:graphicData>
            </a:graphic>
          </wp:inline>
        </w:drawing>
      </w:r>
    </w:p>
    <w:p w14:paraId="174B3EB0" w14:textId="77777777" w:rsidR="009409D7" w:rsidRDefault="009409D7">
      <w:pPr>
        <w:rPr>
          <w:rFonts w:ascii="Verdana" w:eastAsia="Verdana" w:hAnsi="Verdana" w:cs="Verdana"/>
          <w:b/>
          <w:color w:val="303436"/>
          <w:sz w:val="23"/>
          <w:szCs w:val="23"/>
          <w:u w:val="single"/>
        </w:rPr>
      </w:pPr>
    </w:p>
    <w:p w14:paraId="27F0CFCB" w14:textId="77777777" w:rsidR="009409D7" w:rsidRDefault="009409D7">
      <w:pPr>
        <w:rPr>
          <w:rFonts w:ascii="Verdana" w:eastAsia="Verdana" w:hAnsi="Verdana" w:cs="Verdana"/>
          <w:b/>
          <w:color w:val="303436"/>
          <w:sz w:val="23"/>
          <w:szCs w:val="23"/>
          <w:u w:val="single"/>
        </w:rPr>
      </w:pPr>
    </w:p>
    <w:sectPr w:rsidR="009409D7">
      <w:footerReference w:type="default" r:id="rId67"/>
      <w:pgSz w:w="11906" w:h="16838"/>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DBD80" w14:textId="77777777" w:rsidR="0059615B" w:rsidRDefault="0059615B">
      <w:pPr>
        <w:spacing w:line="240" w:lineRule="auto"/>
      </w:pPr>
      <w:r>
        <w:separator/>
      </w:r>
    </w:p>
  </w:endnote>
  <w:endnote w:type="continuationSeparator" w:id="0">
    <w:p w14:paraId="36A24877" w14:textId="77777777" w:rsidR="0059615B" w:rsidRDefault="00596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CC0E" w14:textId="77777777" w:rsidR="009409D7" w:rsidRDefault="00000000">
    <w:pPr>
      <w:jc w:val="right"/>
    </w:pPr>
    <w:r>
      <w:fldChar w:fldCharType="begin"/>
    </w:r>
    <w:r>
      <w:instrText>PAGE</w:instrText>
    </w:r>
    <w:r>
      <w:fldChar w:fldCharType="separate"/>
    </w:r>
    <w:r w:rsidR="008A1DF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E5D16" w14:textId="77777777" w:rsidR="0059615B" w:rsidRDefault="0059615B">
      <w:pPr>
        <w:spacing w:line="240" w:lineRule="auto"/>
      </w:pPr>
      <w:r>
        <w:separator/>
      </w:r>
    </w:p>
  </w:footnote>
  <w:footnote w:type="continuationSeparator" w:id="0">
    <w:p w14:paraId="1AAC11D5" w14:textId="77777777" w:rsidR="0059615B" w:rsidRDefault="005961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A4420"/>
    <w:multiLevelType w:val="multilevel"/>
    <w:tmpl w:val="9162C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870615"/>
    <w:multiLevelType w:val="multilevel"/>
    <w:tmpl w:val="20304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434577"/>
    <w:multiLevelType w:val="multilevel"/>
    <w:tmpl w:val="3F02B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E52A9F"/>
    <w:multiLevelType w:val="multilevel"/>
    <w:tmpl w:val="BBBE0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3366574">
    <w:abstractNumId w:val="2"/>
  </w:num>
  <w:num w:numId="2" w16cid:durableId="516164843">
    <w:abstractNumId w:val="0"/>
  </w:num>
  <w:num w:numId="3" w16cid:durableId="1865554466">
    <w:abstractNumId w:val="1"/>
  </w:num>
  <w:num w:numId="4" w16cid:durableId="561990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9D7"/>
    <w:rsid w:val="004703B2"/>
    <w:rsid w:val="0059615B"/>
    <w:rsid w:val="00653430"/>
    <w:rsid w:val="007E2A89"/>
    <w:rsid w:val="008A1DF2"/>
    <w:rsid w:val="009409D7"/>
    <w:rsid w:val="00CF7271"/>
    <w:rsid w:val="00D9225D"/>
    <w:rsid w:val="00E13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11A37"/>
  <w15:docId w15:val="{76913F27-EFE3-4523-BAEC-43DF7356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erivatives_exchange" TargetMode="External"/><Relationship Id="rId21" Type="http://schemas.openxmlformats.org/officeDocument/2006/relationships/hyperlink" Target="https://en.wikipedia.org/wiki/Investor" TargetMode="External"/><Relationship Id="rId42" Type="http://schemas.openxmlformats.org/officeDocument/2006/relationships/hyperlink" Target="https://en.wikipedia.org/wiki/Corporate" TargetMode="External"/><Relationship Id="rId47" Type="http://schemas.openxmlformats.org/officeDocument/2006/relationships/image" Target="media/image4.png"/><Relationship Id="rId63" Type="http://schemas.openxmlformats.org/officeDocument/2006/relationships/hyperlink" Target="https://www.investopedia.com/terms/r/rsi.asp" TargetMode="External"/><Relationship Id="rId68" Type="http://schemas.openxmlformats.org/officeDocument/2006/relationships/fontTable" Target="fontTable.xml"/><Relationship Id="rId7" Type="http://schemas.openxmlformats.org/officeDocument/2006/relationships/hyperlink" Target="https://en.wikipedia.org/wiki/Stock_exchange" TargetMode="External"/><Relationship Id="rId2" Type="http://schemas.openxmlformats.org/officeDocument/2006/relationships/styles" Target="styles.xml"/><Relationship Id="rId16" Type="http://schemas.openxmlformats.org/officeDocument/2006/relationships/hyperlink" Target="https://en.wikipedia.org/wiki/Lakh" TargetMode="External"/><Relationship Id="rId29" Type="http://schemas.openxmlformats.org/officeDocument/2006/relationships/hyperlink" Target="https://en.wikipedia.org/wiki/National_Stock_Exchange_of_India" TargetMode="External"/><Relationship Id="rId11" Type="http://schemas.openxmlformats.org/officeDocument/2006/relationships/hyperlink" Target="https://en.wikipedia.org/wiki/Asia" TargetMode="External"/><Relationship Id="rId24" Type="http://schemas.openxmlformats.org/officeDocument/2006/relationships/hyperlink" Target="https://en.wikipedia.org/wiki/Stock_exchange" TargetMode="External"/><Relationship Id="rId32" Type="http://schemas.openxmlformats.org/officeDocument/2006/relationships/hyperlink" Target="https://en.wikipedia.org/wiki/Market_capitalization" TargetMode="External"/><Relationship Id="rId37" Type="http://schemas.openxmlformats.org/officeDocument/2006/relationships/hyperlink" Target="https://en.wikipedia.org/wiki/India" TargetMode="External"/><Relationship Id="rId40" Type="http://schemas.openxmlformats.org/officeDocument/2006/relationships/hyperlink" Target="https://en.wikipedia.org/wiki/United_States" TargetMode="External"/><Relationship Id="rId45" Type="http://schemas.openxmlformats.org/officeDocument/2006/relationships/image" Target="media/image2.png"/><Relationship Id="rId53" Type="http://schemas.openxmlformats.org/officeDocument/2006/relationships/hyperlink" Target="https://www.investopedia.com/terms/s/sma.asp" TargetMode="External"/><Relationship Id="rId58" Type="http://schemas.openxmlformats.org/officeDocument/2006/relationships/hyperlink" Target="https://www.investopedia.com/terms/b/buy-signal.asp" TargetMode="External"/><Relationship Id="rId66" Type="http://schemas.openxmlformats.org/officeDocument/2006/relationships/image" Target="media/image8.jpg"/><Relationship Id="rId5" Type="http://schemas.openxmlformats.org/officeDocument/2006/relationships/footnotes" Target="footnotes.xml"/><Relationship Id="rId61" Type="http://schemas.openxmlformats.org/officeDocument/2006/relationships/hyperlink" Target="https://www.investopedia.com/terms/f/false-signal.asp" TargetMode="External"/><Relationship Id="rId19" Type="http://schemas.openxmlformats.org/officeDocument/2006/relationships/hyperlink" Target="https://en.wikipedia.org/wiki/Index_(economics)" TargetMode="External"/><Relationship Id="rId14" Type="http://schemas.openxmlformats.org/officeDocument/2006/relationships/hyperlink" Target="https://en.wikipedia.org/wiki/List_of_stock_exchanges" TargetMode="External"/><Relationship Id="rId22" Type="http://schemas.openxmlformats.org/officeDocument/2006/relationships/hyperlink" Target="https://en.wikipedia.org/wiki/Stock" TargetMode="External"/><Relationship Id="rId27" Type="http://schemas.openxmlformats.org/officeDocument/2006/relationships/hyperlink" Target="https://en.wikipedia.org/wiki/National_Stock_Exchange_of_India" TargetMode="External"/><Relationship Id="rId30" Type="http://schemas.openxmlformats.org/officeDocument/2006/relationships/hyperlink" Target="https://en.wikipedia.org/wiki/Dematerialization_(securities)" TargetMode="External"/><Relationship Id="rId35" Type="http://schemas.openxmlformats.org/officeDocument/2006/relationships/hyperlink" Target="https://en.wikipedia.org/wiki/National_Stock_Exchange_of_India" TargetMode="External"/><Relationship Id="rId43" Type="http://schemas.openxmlformats.org/officeDocument/2006/relationships/hyperlink" Target="https://en.wikipedia.org/wiki/Bombay_Stock_Exchange" TargetMode="External"/><Relationship Id="rId48" Type="http://schemas.openxmlformats.org/officeDocument/2006/relationships/image" Target="media/image5.png"/><Relationship Id="rId56" Type="http://schemas.openxmlformats.org/officeDocument/2006/relationships/hyperlink" Target="https://www.investopedia.com/terms/u/uptrend.asp" TargetMode="External"/><Relationship Id="rId64" Type="http://schemas.openxmlformats.org/officeDocument/2006/relationships/hyperlink" Target="https://www.investopedia.com/terms/o/overbought.asp" TargetMode="External"/><Relationship Id="rId69" Type="http://schemas.openxmlformats.org/officeDocument/2006/relationships/theme" Target="theme/theme1.xml"/><Relationship Id="rId8" Type="http://schemas.openxmlformats.org/officeDocument/2006/relationships/hyperlink" Target="https://en.wikipedia.org/wiki/Dalal_Street" TargetMode="External"/><Relationship Id="rId51" Type="http://schemas.openxmlformats.org/officeDocument/2006/relationships/hyperlink" Target="https://smartasset.com/investing/what-is-a-good-pe-ratio" TargetMode="External"/><Relationship Id="rId3" Type="http://schemas.openxmlformats.org/officeDocument/2006/relationships/settings" Target="settings.xml"/><Relationship Id="rId12" Type="http://schemas.openxmlformats.org/officeDocument/2006/relationships/hyperlink" Target="https://en.wikipedia.org/wiki/Bombay_Stock_Exchange" TargetMode="External"/><Relationship Id="rId17" Type="http://schemas.openxmlformats.org/officeDocument/2006/relationships/hyperlink" Target="https://en.wikipedia.org/wiki/Crore" TargetMode="External"/><Relationship Id="rId25" Type="http://schemas.openxmlformats.org/officeDocument/2006/relationships/hyperlink" Target="https://en.wikipedia.org/wiki/Mumbai" TargetMode="External"/><Relationship Id="rId33" Type="http://schemas.openxmlformats.org/officeDocument/2006/relationships/hyperlink" Target="https://en.wikipedia.org/wiki/United_States_dollar" TargetMode="External"/><Relationship Id="rId38" Type="http://schemas.openxmlformats.org/officeDocument/2006/relationships/hyperlink" Target="https://en.wikipedia.org/wiki/NIFTY_50" TargetMode="External"/><Relationship Id="rId46" Type="http://schemas.openxmlformats.org/officeDocument/2006/relationships/image" Target="media/image3.png"/><Relationship Id="rId59" Type="http://schemas.openxmlformats.org/officeDocument/2006/relationships/image" Target="media/image6.jpg"/><Relationship Id="rId67" Type="http://schemas.openxmlformats.org/officeDocument/2006/relationships/footer" Target="footer1.xml"/><Relationship Id="rId20" Type="http://schemas.openxmlformats.org/officeDocument/2006/relationships/hyperlink" Target="https://en.wikipedia.org/wiki/Stock_market" TargetMode="External"/><Relationship Id="rId41" Type="http://schemas.openxmlformats.org/officeDocument/2006/relationships/hyperlink" Target="https://en.wikipedia.org/wiki/GDP" TargetMode="External"/><Relationship Id="rId54" Type="http://schemas.openxmlformats.org/officeDocument/2006/relationships/hyperlink" Target="https://www.investopedia.com/terms/t/trend.asp" TargetMode="External"/><Relationship Id="rId62" Type="http://schemas.openxmlformats.org/officeDocument/2006/relationships/hyperlink" Target="https://www.investopedia.com/terms/s/support.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arket_capitalization" TargetMode="External"/><Relationship Id="rId23" Type="http://schemas.openxmlformats.org/officeDocument/2006/relationships/hyperlink" Target="https://en.wikipedia.org/wiki/Price_level" TargetMode="External"/><Relationship Id="rId28" Type="http://schemas.openxmlformats.org/officeDocument/2006/relationships/hyperlink" Target="https://en.wikipedia.org/wiki/National_Stock_Exchange_of_India" TargetMode="External"/><Relationship Id="rId36" Type="http://schemas.openxmlformats.org/officeDocument/2006/relationships/hyperlink" Target="https://en.wikipedia.org/wiki/NIFTY_50" TargetMode="External"/><Relationship Id="rId49" Type="http://schemas.openxmlformats.org/officeDocument/2006/relationships/hyperlink" Target="https://smartasset.com/checking-account/52-week-money-challenge" TargetMode="External"/><Relationship Id="rId57" Type="http://schemas.openxmlformats.org/officeDocument/2006/relationships/hyperlink" Target="https://www.investopedia.com/terms/c/crossover.asp" TargetMode="External"/><Relationship Id="rId10" Type="http://schemas.openxmlformats.org/officeDocument/2006/relationships/hyperlink" Target="https://en.wikipedia.org/wiki/Bombay_Stock_Exchange" TargetMode="External"/><Relationship Id="rId31" Type="http://schemas.openxmlformats.org/officeDocument/2006/relationships/hyperlink" Target="https://en.wikipedia.org/wiki/Electronic_trading" TargetMode="External"/><Relationship Id="rId44" Type="http://schemas.openxmlformats.org/officeDocument/2006/relationships/image" Target="media/image1.jpg"/><Relationship Id="rId52" Type="http://schemas.openxmlformats.org/officeDocument/2006/relationships/hyperlink" Target="https://smartasset.com/investing/what-is-price-earnings-ratio" TargetMode="External"/><Relationship Id="rId60" Type="http://schemas.openxmlformats.org/officeDocument/2006/relationships/image" Target="media/image7.jpg"/><Relationship Id="rId65" Type="http://schemas.openxmlformats.org/officeDocument/2006/relationships/hyperlink" Target="https://www.investopedia.com/terms/o/oversold.asp" TargetMode="External"/><Relationship Id="rId4" Type="http://schemas.openxmlformats.org/officeDocument/2006/relationships/webSettings" Target="webSettings.xml"/><Relationship Id="rId9" Type="http://schemas.openxmlformats.org/officeDocument/2006/relationships/hyperlink" Target="https://en.wikipedia.org/wiki/Mumbai" TargetMode="External"/><Relationship Id="rId13" Type="http://schemas.openxmlformats.org/officeDocument/2006/relationships/hyperlink" Target="https://en.wikipedia.org/wiki/Bombay_Stock_Exchange" TargetMode="External"/><Relationship Id="rId18" Type="http://schemas.openxmlformats.org/officeDocument/2006/relationships/hyperlink" Target="https://en.wikipedia.org/wiki/Finance" TargetMode="External"/><Relationship Id="rId39" Type="http://schemas.openxmlformats.org/officeDocument/2006/relationships/hyperlink" Target="https://en.wikipedia.org/wiki/National_Stock_Exchange_of_India" TargetMode="External"/><Relationship Id="rId34" Type="http://schemas.openxmlformats.org/officeDocument/2006/relationships/hyperlink" Target="https://en.wikipedia.org/wiki/List_of_major_stock_exchanges" TargetMode="External"/><Relationship Id="rId50" Type="http://schemas.openxmlformats.org/officeDocument/2006/relationships/hyperlink" Target="https://smartasset.com/financial-advisor/trading-strategy" TargetMode="External"/><Relationship Id="rId55" Type="http://schemas.openxmlformats.org/officeDocument/2006/relationships/hyperlink" Target="https://www.investopedia.com/terms/t/tradingrang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1793</Words>
  <Characters>8815</Characters>
  <Application>Microsoft Office Word</Application>
  <DocSecurity>0</DocSecurity>
  <Lines>235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Paul</cp:lastModifiedBy>
  <cp:revision>4</cp:revision>
  <dcterms:created xsi:type="dcterms:W3CDTF">2023-10-12T13:55:00Z</dcterms:created>
  <dcterms:modified xsi:type="dcterms:W3CDTF">2023-10-27T16:38:00Z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1bb82b1e948a63524396ded0f27ab9c5103c0f398e3f0d3845985660ff94a83d</vt:lpwstr>
  </property>
</Properties>
</file>