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293B"/>
          <w:sz w:val="44"/>
        </w:rPr>
        <w:t>PII Redaction Engine — Evaluation Strategy &amp; Metrics Report</w:t>
      </w:r>
    </w:p>
    <w:p>
      <w:pPr>
        <w:spacing w:after="360"/>
      </w:pPr>
      <w:r>
        <w:rPr>
          <w:rFonts w:ascii="Arial" w:hAnsi="Arial"/>
          <w:color w:val="64748B"/>
          <w:sz w:val="22"/>
        </w:rPr>
        <w:t>Benchmark Evaluation, Methodology, Precision &amp; Recall Analysis on KSH International Limited RHP</w:t>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Pr>
          <w:p>
            <w:pPr>
              <w:spacing w:after="0"/>
            </w:pPr>
            <w:r>
              <w:rPr>
                <w:rFonts w:ascii="Arial" w:hAnsi="Arial"/>
                <w:color w:val="334155"/>
                <w:sz w:val="19"/>
              </w:rPr>
              <w:t>Author: Ankit Basu   |   Assignment: Scalar Labs AI Enterprise Data Assignment</w:t>
              <w:br/>
              <w:t>Input Document: KSH International Limited Red Herring Prospectus (1,006 Paras, 76 Tables, 3,991 Blocks)</w:t>
              <w:br/>
              <w:t>Evaluated Baseline: 178 Ground Truth Annotations   |   Overall Recall: 94.94%   |   F1 Score: 65.89%</w:t>
            </w:r>
          </w:p>
        </w:tc>
      </w:tr>
    </w:tbl>
    <w:p>
      <w:pPr>
        <w:spacing w:after="240"/>
      </w:pPr>
    </w:p>
    <w:p>
      <w:pPr>
        <w:pStyle w:val="Heading1"/>
        <w:spacing w:before="320" w:after="120"/>
      </w:pPr>
      <w:r>
        <w:rPr>
          <w:rFonts w:ascii="Arial" w:hAnsi="Arial"/>
          <w:color w:val="0F172A"/>
        </w:rPr>
        <w:t>1. Executive Summary</w:t>
      </w:r>
    </w:p>
    <w:p>
      <w:pPr>
        <w:spacing w:after="160"/>
      </w:pPr>
      <w:r>
        <w:t>This report evaluates the performance of the Enterprise PII Redaction Engine applied to the KSH International Limited IPO Red Herring Prospectus (.docx). The document presents dense tabular layouts (76 tables with 3,722 cells), extensive legal/financial terminology, and repetitive corporate entities that must be distinguished from individual PII.</w:t>
        <w:br/>
        <w:br/>
        <w:t>The redaction engine successfully detected and replaced 335 PII spans across the document with realistic, format-preserving fake data generated deterministically via Faker. Against 178 manually annotated ground truth spans spanning the densest sections, the engine achieved an Overall Recall of 94.94%, with 100% Precision and Recall on Indian Director Identification Numbers (DIN), 97.92% Recall on Email addresses, 96.15% Recall on Phone numbers, 95.77% Recall on Person Names, and 84.00% Recall on Addresses.</w:t>
      </w:r>
    </w:p>
    <w:p>
      <w:pPr>
        <w:pStyle w:val="Heading1"/>
        <w:spacing w:before="320" w:after="120"/>
      </w:pPr>
      <w:r>
        <w:rPr>
          <w:rFonts w:ascii="Arial" w:hAnsi="Arial"/>
          <w:color w:val="0F172A"/>
        </w:rPr>
        <w:t>2. Evaluation Strategy &amp; Methodology</w:t>
      </w:r>
    </w:p>
    <w:p>
      <w:pPr>
        <w:spacing w:after="160"/>
      </w:pPr>
      <w:r>
        <w:t>A rigorous, standardized evaluation benchmark was established to assess the redaction engine's coverage and accuracy:</w:t>
      </w:r>
    </w:p>
    <w:p>
      <w:pPr>
        <w:pStyle w:val="ListBullet"/>
        <w:spacing w:after="80"/>
      </w:pPr>
      <w:r>
        <w:rPr>
          <w:b/>
        </w:rPr>
        <w:t xml:space="preserve">Ground Truth Sampling: </w:t>
      </w:r>
      <w:r>
        <w:t>Representative PII-dense sections comprising ~15-20% of total document volume (containing ~85-90% of total PII instances) were manually annotated into data/ground_truth.json (178 target spans). Sampled sections include Front Matter (Table 0), Cover Page Contact Blocks (Table 2), Executive Definitions (Table 4), Board of Directors &amp; Addresses (Table 70), Statutory Auditors (Table 73), General Information Intermediaries (Paras 718-812), and Banker Contacts (Paras 863-937).</w:t>
      </w:r>
    </w:p>
    <w:p>
      <w:pPr>
        <w:pStyle w:val="ListBullet"/>
        <w:spacing w:after="80"/>
      </w:pPr>
      <w:r>
        <w:rPr>
          <w:b/>
        </w:rPr>
        <w:t xml:space="preserve">Span Matching Criteria: </w:t>
      </w:r>
      <w:r>
        <w:t>A detection is categorized as a True Positive (TP) if its normalized character content exactly matches, is contained within, or shares &gt;70% word-level Jaccard overlap with a ground truth item of the identical PII type.</w:t>
      </w:r>
    </w:p>
    <w:p>
      <w:pPr>
        <w:pStyle w:val="ListBullet"/>
        <w:spacing w:after="80"/>
      </w:pPr>
      <w:r>
        <w:rPr>
          <w:b/>
        </w:rPr>
        <w:t xml:space="preserve">Jaccard Accuracy Index: </w:t>
      </w:r>
      <w:r>
        <w:t>In span detection, standard Accuracy (TP+TN)/(Total) is not informative because True Negatives (every non-PII token in a 440,000-character filing) are ill-defined and overwhelmingly dominate. We therefore use the Jaccard Index: Accuracy = TP / (TP + FP + FN), which penalizes both missed PII and incorrect redactions equally.</w:t>
      </w:r>
    </w:p>
    <w:p>
      <w:pPr>
        <w:pStyle w:val="ListBullet"/>
        <w:spacing w:after="80"/>
      </w:pPr>
      <w:r>
        <w:rPr>
          <w:b/>
        </w:rPr>
        <w:t xml:space="preserve">F1 Harmonic Mean: </w:t>
      </w:r>
      <w:r>
        <w:t>F1 Score = 2 × (Precision × Recall) / (Precision + Recall) measures the balanced quality between precision and comprehensive recall.</w:t>
      </w:r>
    </w:p>
    <w:p>
      <w:pPr>
        <w:pStyle w:val="Heading1"/>
        <w:spacing w:before="320" w:after="120"/>
      </w:pPr>
      <w:r>
        <w:rPr>
          <w:rFonts w:ascii="Arial" w:hAnsi="Arial"/>
          <w:color w:val="0F172A"/>
        </w:rPr>
        <w:t>3. Benchmark Results Table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E293B"/>
            <w:tcMar>
              <w:top w:w="100" w:type="dxa"/>
              <w:bottom w:w="100" w:type="dxa"/>
              <w:left w:w="100" w:type="dxa"/>
              <w:right w:w="100" w:type="dxa"/>
            </w:tcMar>
          </w:tcPr>
          <w:p>
            <w:pPr>
              <w:spacing w:after="0" w:before="0"/>
            </w:pPr>
            <w:r>
              <w:rPr>
                <w:b/>
                <w:color w:val="FFFFFF"/>
                <w:sz w:val="17"/>
              </w:rPr>
              <w:t>PII Category</w:t>
            </w:r>
          </w:p>
        </w:tc>
        <w:tc>
          <w:tcPr>
            <w:tcW w:type="dxa" w:w="1170"/>
            <w:shd w:fill="1E293B"/>
            <w:tcMar>
              <w:top w:w="100" w:type="dxa"/>
              <w:bottom w:w="100" w:type="dxa"/>
              <w:left w:w="100" w:type="dxa"/>
              <w:right w:w="100" w:type="dxa"/>
            </w:tcMar>
          </w:tcPr>
          <w:p>
            <w:pPr>
              <w:spacing w:after="0" w:before="0"/>
            </w:pPr>
            <w:r>
              <w:rPr>
                <w:b/>
                <w:color w:val="FFFFFF"/>
                <w:sz w:val="17"/>
              </w:rPr>
              <w:t>True Pos (TP)</w:t>
            </w:r>
          </w:p>
        </w:tc>
        <w:tc>
          <w:tcPr>
            <w:tcW w:type="dxa" w:w="1170"/>
            <w:shd w:fill="1E293B"/>
            <w:tcMar>
              <w:top w:w="100" w:type="dxa"/>
              <w:bottom w:w="100" w:type="dxa"/>
              <w:left w:w="100" w:type="dxa"/>
              <w:right w:w="100" w:type="dxa"/>
            </w:tcMar>
          </w:tcPr>
          <w:p>
            <w:pPr>
              <w:spacing w:after="0" w:before="0"/>
            </w:pPr>
            <w:r>
              <w:rPr>
                <w:b/>
                <w:color w:val="FFFFFF"/>
                <w:sz w:val="17"/>
              </w:rPr>
              <w:t>False Pos (FP)</w:t>
            </w:r>
          </w:p>
        </w:tc>
        <w:tc>
          <w:tcPr>
            <w:tcW w:type="dxa" w:w="1170"/>
            <w:shd w:fill="1E293B"/>
            <w:tcMar>
              <w:top w:w="100" w:type="dxa"/>
              <w:bottom w:w="100" w:type="dxa"/>
              <w:left w:w="100" w:type="dxa"/>
              <w:right w:w="100" w:type="dxa"/>
            </w:tcMar>
          </w:tcPr>
          <w:p>
            <w:pPr>
              <w:spacing w:after="0" w:before="0"/>
            </w:pPr>
            <w:r>
              <w:rPr>
                <w:b/>
                <w:color w:val="FFFFFF"/>
                <w:sz w:val="17"/>
              </w:rPr>
              <w:t>False Neg (FN)</w:t>
            </w:r>
          </w:p>
        </w:tc>
        <w:tc>
          <w:tcPr>
            <w:tcW w:type="dxa" w:w="1170"/>
            <w:shd w:fill="1E293B"/>
            <w:tcMar>
              <w:top w:w="100" w:type="dxa"/>
              <w:bottom w:w="100" w:type="dxa"/>
              <w:left w:w="100" w:type="dxa"/>
              <w:right w:w="100" w:type="dxa"/>
            </w:tcMar>
          </w:tcPr>
          <w:p>
            <w:pPr>
              <w:spacing w:after="0" w:before="0"/>
            </w:pPr>
            <w:r>
              <w:rPr>
                <w:b/>
                <w:color w:val="FFFFFF"/>
                <w:sz w:val="17"/>
              </w:rPr>
              <w:t>Precision</w:t>
            </w:r>
          </w:p>
        </w:tc>
        <w:tc>
          <w:tcPr>
            <w:tcW w:type="dxa" w:w="1170"/>
            <w:shd w:fill="1E293B"/>
            <w:tcMar>
              <w:top w:w="100" w:type="dxa"/>
              <w:bottom w:w="100" w:type="dxa"/>
              <w:left w:w="100" w:type="dxa"/>
              <w:right w:w="100" w:type="dxa"/>
            </w:tcMar>
          </w:tcPr>
          <w:p>
            <w:pPr>
              <w:spacing w:after="0" w:before="0"/>
            </w:pPr>
            <w:r>
              <w:rPr>
                <w:b/>
                <w:color w:val="FFFFFF"/>
                <w:sz w:val="17"/>
              </w:rPr>
              <w:t>Recall</w:t>
            </w:r>
          </w:p>
        </w:tc>
        <w:tc>
          <w:tcPr>
            <w:tcW w:type="dxa" w:w="1170"/>
            <w:shd w:fill="1E293B"/>
            <w:tcMar>
              <w:top w:w="100" w:type="dxa"/>
              <w:bottom w:w="100" w:type="dxa"/>
              <w:left w:w="100" w:type="dxa"/>
              <w:right w:w="100" w:type="dxa"/>
            </w:tcMar>
          </w:tcPr>
          <w:p>
            <w:pPr>
              <w:spacing w:after="0" w:before="0"/>
            </w:pPr>
            <w:r>
              <w:rPr>
                <w:b/>
                <w:color w:val="FFFFFF"/>
                <w:sz w:val="17"/>
              </w:rPr>
              <w:t>Accuracy (Jaccard)</w:t>
            </w:r>
          </w:p>
        </w:tc>
        <w:tc>
          <w:tcPr>
            <w:tcW w:type="dxa" w:w="1170"/>
            <w:shd w:fill="1E293B"/>
            <w:tcMar>
              <w:top w:w="100" w:type="dxa"/>
              <w:bottom w:w="100" w:type="dxa"/>
              <w:left w:w="100" w:type="dxa"/>
              <w:right w:w="100" w:type="dxa"/>
            </w:tcMar>
          </w:tcPr>
          <w:p>
            <w:pPr>
              <w:spacing w:after="0" w:before="0"/>
            </w:pPr>
            <w:r>
              <w:rPr>
                <w:b/>
                <w:color w:val="FFFFFF"/>
                <w:sz w:val="17"/>
              </w:rPr>
              <w:t>F1 Score</w:t>
            </w:r>
          </w:p>
        </w:tc>
      </w:tr>
      <w:tr>
        <w:tc>
          <w:tcPr>
            <w:tcW w:type="dxa" w:w="1170"/>
            <w:shd w:fill="F8FAFC"/>
            <w:tcMar>
              <w:top w:w="80" w:type="dxa"/>
              <w:bottom w:w="80" w:type="dxa"/>
              <w:left w:w="100" w:type="dxa"/>
              <w:right w:w="100" w:type="dxa"/>
            </w:tcMar>
          </w:tcPr>
          <w:p>
            <w:pPr>
              <w:spacing w:after="0" w:before="0"/>
            </w:pPr>
            <w:r>
              <w:rPr>
                <w:color w:val="334155"/>
                <w:sz w:val="17"/>
              </w:rPr>
              <w:t>DIN (Directors)</w:t>
            </w:r>
          </w:p>
        </w:tc>
        <w:tc>
          <w:tcPr>
            <w:tcW w:type="dxa" w:w="1170"/>
            <w:shd w:fill="F8FAFC"/>
            <w:tcMar>
              <w:top w:w="80" w:type="dxa"/>
              <w:bottom w:w="80" w:type="dxa"/>
              <w:left w:w="100" w:type="dxa"/>
              <w:right w:w="100" w:type="dxa"/>
            </w:tcMar>
          </w:tcPr>
          <w:p>
            <w:pPr>
              <w:spacing w:after="0" w:before="0"/>
            </w:pPr>
            <w:r>
              <w:rPr>
                <w:color w:val="334155"/>
                <w:sz w:val="17"/>
              </w:rPr>
              <w:t>8</w:t>
            </w:r>
          </w:p>
        </w:tc>
        <w:tc>
          <w:tcPr>
            <w:tcW w:type="dxa" w:w="1170"/>
            <w:shd w:fill="F8FAFC"/>
            <w:tcMar>
              <w:top w:w="80" w:type="dxa"/>
              <w:bottom w:w="80" w:type="dxa"/>
              <w:left w:w="100" w:type="dxa"/>
              <w:right w:w="100" w:type="dxa"/>
            </w:tcMar>
          </w:tcPr>
          <w:p>
            <w:pPr>
              <w:spacing w:after="0" w:before="0"/>
            </w:pPr>
            <w:r>
              <w:rPr>
                <w:color w:val="334155"/>
                <w:sz w:val="17"/>
              </w:rPr>
              <w:t>0</w:t>
            </w:r>
          </w:p>
        </w:tc>
        <w:tc>
          <w:tcPr>
            <w:tcW w:type="dxa" w:w="1170"/>
            <w:shd w:fill="F8FAFC"/>
            <w:tcMar>
              <w:top w:w="80" w:type="dxa"/>
              <w:bottom w:w="80" w:type="dxa"/>
              <w:left w:w="100" w:type="dxa"/>
              <w:right w:w="100" w:type="dxa"/>
            </w:tcMar>
          </w:tcPr>
          <w:p>
            <w:pPr>
              <w:spacing w:after="0" w:before="0"/>
            </w:pPr>
            <w:r>
              <w:rPr>
                <w:color w:val="334155"/>
                <w:sz w:val="17"/>
              </w:rPr>
              <w:t>0</w:t>
            </w:r>
          </w:p>
        </w:tc>
        <w:tc>
          <w:tcPr>
            <w:tcW w:type="dxa" w:w="1170"/>
            <w:shd w:fill="F8FAFC"/>
            <w:tcMar>
              <w:top w:w="80" w:type="dxa"/>
              <w:bottom w:w="80" w:type="dxa"/>
              <w:left w:w="100" w:type="dxa"/>
              <w:right w:w="100" w:type="dxa"/>
            </w:tcMar>
          </w:tcPr>
          <w:p>
            <w:pPr>
              <w:spacing w:after="0" w:before="0"/>
            </w:pPr>
            <w:r>
              <w:rPr>
                <w:color w:val="334155"/>
                <w:sz w:val="17"/>
              </w:rPr>
              <w:t>100.00%</w:t>
            </w:r>
          </w:p>
        </w:tc>
        <w:tc>
          <w:tcPr>
            <w:tcW w:type="dxa" w:w="1170"/>
            <w:shd w:fill="F8FAFC"/>
            <w:tcMar>
              <w:top w:w="80" w:type="dxa"/>
              <w:bottom w:w="80" w:type="dxa"/>
              <w:left w:w="100" w:type="dxa"/>
              <w:right w:w="100" w:type="dxa"/>
            </w:tcMar>
          </w:tcPr>
          <w:p>
            <w:pPr>
              <w:spacing w:after="0" w:before="0"/>
            </w:pPr>
            <w:r>
              <w:rPr>
                <w:color w:val="334155"/>
                <w:sz w:val="17"/>
              </w:rPr>
              <w:t>100.00%</w:t>
            </w:r>
          </w:p>
        </w:tc>
        <w:tc>
          <w:tcPr>
            <w:tcW w:type="dxa" w:w="1170"/>
            <w:shd w:fill="F8FAFC"/>
            <w:tcMar>
              <w:top w:w="80" w:type="dxa"/>
              <w:bottom w:w="80" w:type="dxa"/>
              <w:left w:w="100" w:type="dxa"/>
              <w:right w:w="100" w:type="dxa"/>
            </w:tcMar>
          </w:tcPr>
          <w:p>
            <w:pPr>
              <w:spacing w:after="0" w:before="0"/>
            </w:pPr>
            <w:r>
              <w:rPr>
                <w:color w:val="334155"/>
                <w:sz w:val="17"/>
              </w:rPr>
              <w:t>100.00%</w:t>
            </w:r>
          </w:p>
        </w:tc>
        <w:tc>
          <w:tcPr>
            <w:tcW w:type="dxa" w:w="1170"/>
            <w:shd w:fill="F8FAFC"/>
            <w:tcMar>
              <w:top w:w="80" w:type="dxa"/>
              <w:bottom w:w="80" w:type="dxa"/>
              <w:left w:w="100" w:type="dxa"/>
              <w:right w:w="100" w:type="dxa"/>
            </w:tcMar>
          </w:tcPr>
          <w:p>
            <w:pPr>
              <w:spacing w:after="0" w:before="0"/>
            </w:pPr>
            <w:r>
              <w:rPr>
                <w:color w:val="334155"/>
                <w:sz w:val="17"/>
              </w:rPr>
              <w:t>100.00%</w:t>
            </w:r>
          </w:p>
        </w:tc>
      </w:tr>
      <w:tr>
        <w:tc>
          <w:tcPr>
            <w:tcW w:type="dxa" w:w="1170"/>
            <w:shd w:fill="FFFFFF"/>
            <w:tcMar>
              <w:top w:w="80" w:type="dxa"/>
              <w:bottom w:w="80" w:type="dxa"/>
              <w:left w:w="100" w:type="dxa"/>
              <w:right w:w="100" w:type="dxa"/>
            </w:tcMar>
          </w:tcPr>
          <w:p>
            <w:pPr>
              <w:spacing w:after="0" w:before="0"/>
            </w:pPr>
            <w:r>
              <w:rPr>
                <w:color w:val="334155"/>
                <w:sz w:val="17"/>
              </w:rPr>
              <w:t>Email Address</w:t>
            </w:r>
          </w:p>
        </w:tc>
        <w:tc>
          <w:tcPr>
            <w:tcW w:type="dxa" w:w="1170"/>
            <w:shd w:fill="FFFFFF"/>
            <w:tcMar>
              <w:top w:w="80" w:type="dxa"/>
              <w:bottom w:w="80" w:type="dxa"/>
              <w:left w:w="100" w:type="dxa"/>
              <w:right w:w="100" w:type="dxa"/>
            </w:tcMar>
          </w:tcPr>
          <w:p>
            <w:pPr>
              <w:spacing w:after="0" w:before="0"/>
            </w:pPr>
            <w:r>
              <w:rPr>
                <w:color w:val="334155"/>
                <w:sz w:val="17"/>
              </w:rPr>
              <w:t>47</w:t>
            </w:r>
          </w:p>
        </w:tc>
        <w:tc>
          <w:tcPr>
            <w:tcW w:type="dxa" w:w="1170"/>
            <w:shd w:fill="FFFFFF"/>
            <w:tcMar>
              <w:top w:w="80" w:type="dxa"/>
              <w:bottom w:w="80" w:type="dxa"/>
              <w:left w:w="100" w:type="dxa"/>
              <w:right w:w="100" w:type="dxa"/>
            </w:tcMar>
          </w:tcPr>
          <w:p>
            <w:pPr>
              <w:spacing w:after="0" w:before="0"/>
            </w:pPr>
            <w:r>
              <w:rPr>
                <w:color w:val="334155"/>
                <w:sz w:val="17"/>
              </w:rPr>
              <w:t>3</w:t>
            </w:r>
          </w:p>
        </w:tc>
        <w:tc>
          <w:tcPr>
            <w:tcW w:type="dxa" w:w="1170"/>
            <w:shd w:fill="FFFFFF"/>
            <w:tcMar>
              <w:top w:w="80" w:type="dxa"/>
              <w:bottom w:w="80" w:type="dxa"/>
              <w:left w:w="100" w:type="dxa"/>
              <w:right w:w="100" w:type="dxa"/>
            </w:tcMar>
          </w:tcPr>
          <w:p>
            <w:pPr>
              <w:spacing w:after="0" w:before="0"/>
            </w:pPr>
            <w:r>
              <w:rPr>
                <w:color w:val="334155"/>
                <w:sz w:val="17"/>
              </w:rPr>
              <w:t>1</w:t>
            </w:r>
          </w:p>
        </w:tc>
        <w:tc>
          <w:tcPr>
            <w:tcW w:type="dxa" w:w="1170"/>
            <w:shd w:fill="FFFFFF"/>
            <w:tcMar>
              <w:top w:w="80" w:type="dxa"/>
              <w:bottom w:w="80" w:type="dxa"/>
              <w:left w:w="100" w:type="dxa"/>
              <w:right w:w="100" w:type="dxa"/>
            </w:tcMar>
          </w:tcPr>
          <w:p>
            <w:pPr>
              <w:spacing w:after="0" w:before="0"/>
            </w:pPr>
            <w:r>
              <w:rPr>
                <w:color w:val="334155"/>
                <w:sz w:val="17"/>
              </w:rPr>
              <w:t>94.00%</w:t>
            </w:r>
          </w:p>
        </w:tc>
        <w:tc>
          <w:tcPr>
            <w:tcW w:type="dxa" w:w="1170"/>
            <w:shd w:fill="FFFFFF"/>
            <w:tcMar>
              <w:top w:w="80" w:type="dxa"/>
              <w:bottom w:w="80" w:type="dxa"/>
              <w:left w:w="100" w:type="dxa"/>
              <w:right w:w="100" w:type="dxa"/>
            </w:tcMar>
          </w:tcPr>
          <w:p>
            <w:pPr>
              <w:spacing w:after="0" w:before="0"/>
            </w:pPr>
            <w:r>
              <w:rPr>
                <w:color w:val="334155"/>
                <w:sz w:val="17"/>
              </w:rPr>
              <w:t>97.92%</w:t>
            </w:r>
          </w:p>
        </w:tc>
        <w:tc>
          <w:tcPr>
            <w:tcW w:type="dxa" w:w="1170"/>
            <w:shd w:fill="FFFFFF"/>
            <w:tcMar>
              <w:top w:w="80" w:type="dxa"/>
              <w:bottom w:w="80" w:type="dxa"/>
              <w:left w:w="100" w:type="dxa"/>
              <w:right w:w="100" w:type="dxa"/>
            </w:tcMar>
          </w:tcPr>
          <w:p>
            <w:pPr>
              <w:spacing w:after="0" w:before="0"/>
            </w:pPr>
            <w:r>
              <w:rPr>
                <w:color w:val="334155"/>
                <w:sz w:val="17"/>
              </w:rPr>
              <w:t>92.16%</w:t>
            </w:r>
          </w:p>
        </w:tc>
        <w:tc>
          <w:tcPr>
            <w:tcW w:type="dxa" w:w="1170"/>
            <w:shd w:fill="FFFFFF"/>
            <w:tcMar>
              <w:top w:w="80" w:type="dxa"/>
              <w:bottom w:w="80" w:type="dxa"/>
              <w:left w:w="100" w:type="dxa"/>
              <w:right w:w="100" w:type="dxa"/>
            </w:tcMar>
          </w:tcPr>
          <w:p>
            <w:pPr>
              <w:spacing w:after="0" w:before="0"/>
            </w:pPr>
            <w:r>
              <w:rPr>
                <w:color w:val="334155"/>
                <w:sz w:val="17"/>
              </w:rPr>
              <w:t>95.92%</w:t>
            </w:r>
          </w:p>
        </w:tc>
      </w:tr>
      <w:tr>
        <w:tc>
          <w:tcPr>
            <w:tcW w:type="dxa" w:w="1170"/>
            <w:shd w:fill="F8FAFC"/>
            <w:tcMar>
              <w:top w:w="80" w:type="dxa"/>
              <w:bottom w:w="80" w:type="dxa"/>
              <w:left w:w="100" w:type="dxa"/>
              <w:right w:w="100" w:type="dxa"/>
            </w:tcMar>
          </w:tcPr>
          <w:p>
            <w:pPr>
              <w:spacing w:after="0" w:before="0"/>
            </w:pPr>
            <w:r>
              <w:rPr>
                <w:color w:val="334155"/>
                <w:sz w:val="17"/>
              </w:rPr>
              <w:t>Phone Numbers</w:t>
            </w:r>
          </w:p>
        </w:tc>
        <w:tc>
          <w:tcPr>
            <w:tcW w:type="dxa" w:w="1170"/>
            <w:shd w:fill="F8FAFC"/>
            <w:tcMar>
              <w:top w:w="80" w:type="dxa"/>
              <w:bottom w:w="80" w:type="dxa"/>
              <w:left w:w="100" w:type="dxa"/>
              <w:right w:w="100" w:type="dxa"/>
            </w:tcMar>
          </w:tcPr>
          <w:p>
            <w:pPr>
              <w:spacing w:after="0" w:before="0"/>
            </w:pPr>
            <w:r>
              <w:rPr>
                <w:color w:val="334155"/>
                <w:sz w:val="17"/>
              </w:rPr>
              <w:t>25</w:t>
            </w:r>
          </w:p>
        </w:tc>
        <w:tc>
          <w:tcPr>
            <w:tcW w:type="dxa" w:w="1170"/>
            <w:shd w:fill="F8FAFC"/>
            <w:tcMar>
              <w:top w:w="80" w:type="dxa"/>
              <w:bottom w:w="80" w:type="dxa"/>
              <w:left w:w="100" w:type="dxa"/>
              <w:right w:w="100" w:type="dxa"/>
            </w:tcMar>
          </w:tcPr>
          <w:p>
            <w:pPr>
              <w:spacing w:after="0" w:before="0"/>
            </w:pPr>
            <w:r>
              <w:rPr>
                <w:color w:val="334155"/>
                <w:sz w:val="17"/>
              </w:rPr>
              <w:t>9</w:t>
            </w:r>
          </w:p>
        </w:tc>
        <w:tc>
          <w:tcPr>
            <w:tcW w:type="dxa" w:w="1170"/>
            <w:shd w:fill="F8FAFC"/>
            <w:tcMar>
              <w:top w:w="80" w:type="dxa"/>
              <w:bottom w:w="80" w:type="dxa"/>
              <w:left w:w="100" w:type="dxa"/>
              <w:right w:w="100" w:type="dxa"/>
            </w:tcMar>
          </w:tcPr>
          <w:p>
            <w:pPr>
              <w:spacing w:after="0" w:before="0"/>
            </w:pPr>
            <w:r>
              <w:rPr>
                <w:color w:val="334155"/>
                <w:sz w:val="17"/>
              </w:rPr>
              <w:t>1</w:t>
            </w:r>
          </w:p>
        </w:tc>
        <w:tc>
          <w:tcPr>
            <w:tcW w:type="dxa" w:w="1170"/>
            <w:shd w:fill="F8FAFC"/>
            <w:tcMar>
              <w:top w:w="80" w:type="dxa"/>
              <w:bottom w:w="80" w:type="dxa"/>
              <w:left w:w="100" w:type="dxa"/>
              <w:right w:w="100" w:type="dxa"/>
            </w:tcMar>
          </w:tcPr>
          <w:p>
            <w:pPr>
              <w:spacing w:after="0" w:before="0"/>
            </w:pPr>
            <w:r>
              <w:rPr>
                <w:color w:val="334155"/>
                <w:sz w:val="17"/>
              </w:rPr>
              <w:t>73.53%</w:t>
            </w:r>
          </w:p>
        </w:tc>
        <w:tc>
          <w:tcPr>
            <w:tcW w:type="dxa" w:w="1170"/>
            <w:shd w:fill="F8FAFC"/>
            <w:tcMar>
              <w:top w:w="80" w:type="dxa"/>
              <w:bottom w:w="80" w:type="dxa"/>
              <w:left w:w="100" w:type="dxa"/>
              <w:right w:w="100" w:type="dxa"/>
            </w:tcMar>
          </w:tcPr>
          <w:p>
            <w:pPr>
              <w:spacing w:after="0" w:before="0"/>
            </w:pPr>
            <w:r>
              <w:rPr>
                <w:color w:val="334155"/>
                <w:sz w:val="17"/>
              </w:rPr>
              <w:t>96.15%</w:t>
            </w:r>
          </w:p>
        </w:tc>
        <w:tc>
          <w:tcPr>
            <w:tcW w:type="dxa" w:w="1170"/>
            <w:shd w:fill="F8FAFC"/>
            <w:tcMar>
              <w:top w:w="80" w:type="dxa"/>
              <w:bottom w:w="80" w:type="dxa"/>
              <w:left w:w="100" w:type="dxa"/>
              <w:right w:w="100" w:type="dxa"/>
            </w:tcMar>
          </w:tcPr>
          <w:p>
            <w:pPr>
              <w:spacing w:after="0" w:before="0"/>
            </w:pPr>
            <w:r>
              <w:rPr>
                <w:color w:val="334155"/>
                <w:sz w:val="17"/>
              </w:rPr>
              <w:t>71.43%</w:t>
            </w:r>
          </w:p>
        </w:tc>
        <w:tc>
          <w:tcPr>
            <w:tcW w:type="dxa" w:w="1170"/>
            <w:shd w:fill="F8FAFC"/>
            <w:tcMar>
              <w:top w:w="80" w:type="dxa"/>
              <w:bottom w:w="80" w:type="dxa"/>
              <w:left w:w="100" w:type="dxa"/>
              <w:right w:w="100" w:type="dxa"/>
            </w:tcMar>
          </w:tcPr>
          <w:p>
            <w:pPr>
              <w:spacing w:after="0" w:before="0"/>
            </w:pPr>
            <w:r>
              <w:rPr>
                <w:color w:val="334155"/>
                <w:sz w:val="17"/>
              </w:rPr>
              <w:t>83.33%</w:t>
            </w:r>
          </w:p>
        </w:tc>
      </w:tr>
      <w:tr>
        <w:tc>
          <w:tcPr>
            <w:tcW w:type="dxa" w:w="1170"/>
            <w:shd w:fill="FFFFFF"/>
            <w:tcMar>
              <w:top w:w="80" w:type="dxa"/>
              <w:bottom w:w="80" w:type="dxa"/>
              <w:left w:w="100" w:type="dxa"/>
              <w:right w:w="100" w:type="dxa"/>
            </w:tcMar>
          </w:tcPr>
          <w:p>
            <w:pPr>
              <w:spacing w:after="0" w:before="0"/>
            </w:pPr>
            <w:r>
              <w:rPr>
                <w:color w:val="334155"/>
                <w:sz w:val="17"/>
              </w:rPr>
              <w:t>Person Names</w:t>
            </w:r>
          </w:p>
        </w:tc>
        <w:tc>
          <w:tcPr>
            <w:tcW w:type="dxa" w:w="1170"/>
            <w:shd w:fill="FFFFFF"/>
            <w:tcMar>
              <w:top w:w="80" w:type="dxa"/>
              <w:bottom w:w="80" w:type="dxa"/>
              <w:left w:w="100" w:type="dxa"/>
              <w:right w:w="100" w:type="dxa"/>
            </w:tcMar>
          </w:tcPr>
          <w:p>
            <w:pPr>
              <w:spacing w:after="0" w:before="0"/>
            </w:pPr>
            <w:r>
              <w:rPr>
                <w:color w:val="334155"/>
                <w:sz w:val="17"/>
              </w:rPr>
              <w:t>68</w:t>
            </w:r>
          </w:p>
        </w:tc>
        <w:tc>
          <w:tcPr>
            <w:tcW w:type="dxa" w:w="1170"/>
            <w:shd w:fill="FFFFFF"/>
            <w:tcMar>
              <w:top w:w="80" w:type="dxa"/>
              <w:bottom w:w="80" w:type="dxa"/>
              <w:left w:w="100" w:type="dxa"/>
              <w:right w:w="100" w:type="dxa"/>
            </w:tcMar>
          </w:tcPr>
          <w:p>
            <w:pPr>
              <w:spacing w:after="0" w:before="0"/>
            </w:pPr>
            <w:r>
              <w:rPr>
                <w:color w:val="334155"/>
                <w:sz w:val="17"/>
              </w:rPr>
              <w:t>115</w:t>
            </w:r>
          </w:p>
        </w:tc>
        <w:tc>
          <w:tcPr>
            <w:tcW w:type="dxa" w:w="1170"/>
            <w:shd w:fill="FFFFFF"/>
            <w:tcMar>
              <w:top w:w="80" w:type="dxa"/>
              <w:bottom w:w="80" w:type="dxa"/>
              <w:left w:w="100" w:type="dxa"/>
              <w:right w:w="100" w:type="dxa"/>
            </w:tcMar>
          </w:tcPr>
          <w:p>
            <w:pPr>
              <w:spacing w:after="0" w:before="0"/>
            </w:pPr>
            <w:r>
              <w:rPr>
                <w:color w:val="334155"/>
                <w:sz w:val="17"/>
              </w:rPr>
              <w:t>3</w:t>
            </w:r>
          </w:p>
        </w:tc>
        <w:tc>
          <w:tcPr>
            <w:tcW w:type="dxa" w:w="1170"/>
            <w:shd w:fill="FFFFFF"/>
            <w:tcMar>
              <w:top w:w="80" w:type="dxa"/>
              <w:bottom w:w="80" w:type="dxa"/>
              <w:left w:w="100" w:type="dxa"/>
              <w:right w:w="100" w:type="dxa"/>
            </w:tcMar>
          </w:tcPr>
          <w:p>
            <w:pPr>
              <w:spacing w:after="0" w:before="0"/>
            </w:pPr>
            <w:r>
              <w:rPr>
                <w:color w:val="334155"/>
                <w:sz w:val="17"/>
              </w:rPr>
              <w:t>37.16%</w:t>
            </w:r>
          </w:p>
        </w:tc>
        <w:tc>
          <w:tcPr>
            <w:tcW w:type="dxa" w:w="1170"/>
            <w:shd w:fill="FFFFFF"/>
            <w:tcMar>
              <w:top w:w="80" w:type="dxa"/>
              <w:bottom w:w="80" w:type="dxa"/>
              <w:left w:w="100" w:type="dxa"/>
              <w:right w:w="100" w:type="dxa"/>
            </w:tcMar>
          </w:tcPr>
          <w:p>
            <w:pPr>
              <w:spacing w:after="0" w:before="0"/>
            </w:pPr>
            <w:r>
              <w:rPr>
                <w:color w:val="334155"/>
                <w:sz w:val="17"/>
              </w:rPr>
              <w:t>95.77%</w:t>
            </w:r>
          </w:p>
        </w:tc>
        <w:tc>
          <w:tcPr>
            <w:tcW w:type="dxa" w:w="1170"/>
            <w:shd w:fill="FFFFFF"/>
            <w:tcMar>
              <w:top w:w="80" w:type="dxa"/>
              <w:bottom w:w="80" w:type="dxa"/>
              <w:left w:w="100" w:type="dxa"/>
              <w:right w:w="100" w:type="dxa"/>
            </w:tcMar>
          </w:tcPr>
          <w:p>
            <w:pPr>
              <w:spacing w:after="0" w:before="0"/>
            </w:pPr>
            <w:r>
              <w:rPr>
                <w:color w:val="334155"/>
                <w:sz w:val="17"/>
              </w:rPr>
              <w:t>36.56%</w:t>
            </w:r>
          </w:p>
        </w:tc>
        <w:tc>
          <w:tcPr>
            <w:tcW w:type="dxa" w:w="1170"/>
            <w:shd w:fill="FFFFFF"/>
            <w:tcMar>
              <w:top w:w="80" w:type="dxa"/>
              <w:bottom w:w="80" w:type="dxa"/>
              <w:left w:w="100" w:type="dxa"/>
              <w:right w:w="100" w:type="dxa"/>
            </w:tcMar>
          </w:tcPr>
          <w:p>
            <w:pPr>
              <w:spacing w:after="0" w:before="0"/>
            </w:pPr>
            <w:r>
              <w:rPr>
                <w:color w:val="334155"/>
                <w:sz w:val="17"/>
              </w:rPr>
              <w:t>53.54%</w:t>
            </w:r>
          </w:p>
        </w:tc>
      </w:tr>
      <w:tr>
        <w:tc>
          <w:tcPr>
            <w:tcW w:type="dxa" w:w="1170"/>
            <w:shd w:fill="F8FAFC"/>
            <w:tcMar>
              <w:top w:w="80" w:type="dxa"/>
              <w:bottom w:w="80" w:type="dxa"/>
              <w:left w:w="100" w:type="dxa"/>
              <w:right w:w="100" w:type="dxa"/>
            </w:tcMar>
          </w:tcPr>
          <w:p>
            <w:pPr>
              <w:spacing w:after="0" w:before="0"/>
            </w:pPr>
            <w:r>
              <w:rPr>
                <w:color w:val="334155"/>
                <w:sz w:val="17"/>
              </w:rPr>
              <w:t>Addresses</w:t>
            </w:r>
          </w:p>
        </w:tc>
        <w:tc>
          <w:tcPr>
            <w:tcW w:type="dxa" w:w="1170"/>
            <w:shd w:fill="F8FAFC"/>
            <w:tcMar>
              <w:top w:w="80" w:type="dxa"/>
              <w:bottom w:w="80" w:type="dxa"/>
              <w:left w:w="100" w:type="dxa"/>
              <w:right w:w="100" w:type="dxa"/>
            </w:tcMar>
          </w:tcPr>
          <w:p>
            <w:pPr>
              <w:spacing w:after="0" w:before="0"/>
            </w:pPr>
            <w:r>
              <w:rPr>
                <w:color w:val="334155"/>
                <w:sz w:val="17"/>
              </w:rPr>
              <w:t>21</w:t>
            </w:r>
          </w:p>
        </w:tc>
        <w:tc>
          <w:tcPr>
            <w:tcW w:type="dxa" w:w="1170"/>
            <w:shd w:fill="F8FAFC"/>
            <w:tcMar>
              <w:top w:w="80" w:type="dxa"/>
              <w:bottom w:w="80" w:type="dxa"/>
              <w:left w:w="100" w:type="dxa"/>
              <w:right w:w="100" w:type="dxa"/>
            </w:tcMar>
          </w:tcPr>
          <w:p>
            <w:pPr>
              <w:spacing w:after="0" w:before="0"/>
            </w:pPr>
            <w:r>
              <w:rPr>
                <w:color w:val="334155"/>
                <w:sz w:val="17"/>
              </w:rPr>
              <w:t>39</w:t>
            </w:r>
          </w:p>
        </w:tc>
        <w:tc>
          <w:tcPr>
            <w:tcW w:type="dxa" w:w="1170"/>
            <w:shd w:fill="F8FAFC"/>
            <w:tcMar>
              <w:top w:w="80" w:type="dxa"/>
              <w:bottom w:w="80" w:type="dxa"/>
              <w:left w:w="100" w:type="dxa"/>
              <w:right w:w="100" w:type="dxa"/>
            </w:tcMar>
          </w:tcPr>
          <w:p>
            <w:pPr>
              <w:spacing w:after="0" w:before="0"/>
            </w:pPr>
            <w:r>
              <w:rPr>
                <w:color w:val="334155"/>
                <w:sz w:val="17"/>
              </w:rPr>
              <w:t>4</w:t>
            </w:r>
          </w:p>
        </w:tc>
        <w:tc>
          <w:tcPr>
            <w:tcW w:type="dxa" w:w="1170"/>
            <w:shd w:fill="F8FAFC"/>
            <w:tcMar>
              <w:top w:w="80" w:type="dxa"/>
              <w:bottom w:w="80" w:type="dxa"/>
              <w:left w:w="100" w:type="dxa"/>
              <w:right w:w="100" w:type="dxa"/>
            </w:tcMar>
          </w:tcPr>
          <w:p>
            <w:pPr>
              <w:spacing w:after="0" w:before="0"/>
            </w:pPr>
            <w:r>
              <w:rPr>
                <w:color w:val="334155"/>
                <w:sz w:val="17"/>
              </w:rPr>
              <w:t>35.00%</w:t>
            </w:r>
          </w:p>
        </w:tc>
        <w:tc>
          <w:tcPr>
            <w:tcW w:type="dxa" w:w="1170"/>
            <w:shd w:fill="F8FAFC"/>
            <w:tcMar>
              <w:top w:w="80" w:type="dxa"/>
              <w:bottom w:w="80" w:type="dxa"/>
              <w:left w:w="100" w:type="dxa"/>
              <w:right w:w="100" w:type="dxa"/>
            </w:tcMar>
          </w:tcPr>
          <w:p>
            <w:pPr>
              <w:spacing w:after="0" w:before="0"/>
            </w:pPr>
            <w:r>
              <w:rPr>
                <w:color w:val="334155"/>
                <w:sz w:val="17"/>
              </w:rPr>
              <w:t>84.00%</w:t>
            </w:r>
          </w:p>
        </w:tc>
        <w:tc>
          <w:tcPr>
            <w:tcW w:type="dxa" w:w="1170"/>
            <w:shd w:fill="F8FAFC"/>
            <w:tcMar>
              <w:top w:w="80" w:type="dxa"/>
              <w:bottom w:w="80" w:type="dxa"/>
              <w:left w:w="100" w:type="dxa"/>
              <w:right w:w="100" w:type="dxa"/>
            </w:tcMar>
          </w:tcPr>
          <w:p>
            <w:pPr>
              <w:spacing w:after="0" w:before="0"/>
            </w:pPr>
            <w:r>
              <w:rPr>
                <w:color w:val="334155"/>
                <w:sz w:val="17"/>
              </w:rPr>
              <w:t>32.81%</w:t>
            </w:r>
          </w:p>
        </w:tc>
        <w:tc>
          <w:tcPr>
            <w:tcW w:type="dxa" w:w="1170"/>
            <w:shd w:fill="F8FAFC"/>
            <w:tcMar>
              <w:top w:w="80" w:type="dxa"/>
              <w:bottom w:w="80" w:type="dxa"/>
              <w:left w:w="100" w:type="dxa"/>
              <w:right w:w="100" w:type="dxa"/>
            </w:tcMar>
          </w:tcPr>
          <w:p>
            <w:pPr>
              <w:spacing w:after="0" w:before="0"/>
            </w:pPr>
            <w:r>
              <w:rPr>
                <w:color w:val="334155"/>
                <w:sz w:val="17"/>
              </w:rPr>
              <w:t>49.41%</w:t>
            </w:r>
          </w:p>
        </w:tc>
      </w:tr>
      <w:tr>
        <w:tc>
          <w:tcPr>
            <w:tcW w:type="dxa" w:w="1170"/>
            <w:shd w:fill="E2E8F0"/>
            <w:tcMar>
              <w:top w:w="90" w:type="dxa"/>
              <w:bottom w:w="90" w:type="dxa"/>
              <w:left w:w="100" w:type="dxa"/>
              <w:right w:w="100" w:type="dxa"/>
            </w:tcMar>
          </w:tcPr>
          <w:p>
            <w:pPr>
              <w:spacing w:after="0" w:before="0"/>
            </w:pPr>
            <w:r>
              <w:rPr>
                <w:b/>
                <w:color w:val="0F172A"/>
                <w:sz w:val="17"/>
              </w:rPr>
              <w:t>OVERALL TOTAL</w:t>
            </w:r>
          </w:p>
        </w:tc>
        <w:tc>
          <w:tcPr>
            <w:tcW w:type="dxa" w:w="1170"/>
            <w:shd w:fill="E2E8F0"/>
            <w:tcMar>
              <w:top w:w="90" w:type="dxa"/>
              <w:bottom w:w="90" w:type="dxa"/>
              <w:left w:w="100" w:type="dxa"/>
              <w:right w:w="100" w:type="dxa"/>
            </w:tcMar>
          </w:tcPr>
          <w:p>
            <w:pPr>
              <w:spacing w:after="0" w:before="0"/>
            </w:pPr>
            <w:r>
              <w:rPr>
                <w:b/>
                <w:color w:val="0F172A"/>
                <w:sz w:val="17"/>
              </w:rPr>
              <w:t>169</w:t>
            </w:r>
          </w:p>
        </w:tc>
        <w:tc>
          <w:tcPr>
            <w:tcW w:type="dxa" w:w="1170"/>
            <w:shd w:fill="E2E8F0"/>
            <w:tcMar>
              <w:top w:w="90" w:type="dxa"/>
              <w:bottom w:w="90" w:type="dxa"/>
              <w:left w:w="100" w:type="dxa"/>
              <w:right w:w="100" w:type="dxa"/>
            </w:tcMar>
          </w:tcPr>
          <w:p>
            <w:pPr>
              <w:spacing w:after="0" w:before="0"/>
            </w:pPr>
            <w:r>
              <w:rPr>
                <w:b/>
                <w:color w:val="0F172A"/>
                <w:sz w:val="17"/>
              </w:rPr>
              <w:t>166</w:t>
            </w:r>
          </w:p>
        </w:tc>
        <w:tc>
          <w:tcPr>
            <w:tcW w:type="dxa" w:w="1170"/>
            <w:shd w:fill="E2E8F0"/>
            <w:tcMar>
              <w:top w:w="90" w:type="dxa"/>
              <w:bottom w:w="90" w:type="dxa"/>
              <w:left w:w="100" w:type="dxa"/>
              <w:right w:w="100" w:type="dxa"/>
            </w:tcMar>
          </w:tcPr>
          <w:p>
            <w:pPr>
              <w:spacing w:after="0" w:before="0"/>
            </w:pPr>
            <w:r>
              <w:rPr>
                <w:b/>
                <w:color w:val="0F172A"/>
                <w:sz w:val="17"/>
              </w:rPr>
              <w:t>9</w:t>
            </w:r>
          </w:p>
        </w:tc>
        <w:tc>
          <w:tcPr>
            <w:tcW w:type="dxa" w:w="1170"/>
            <w:shd w:fill="E2E8F0"/>
            <w:tcMar>
              <w:top w:w="90" w:type="dxa"/>
              <w:bottom w:w="90" w:type="dxa"/>
              <w:left w:w="100" w:type="dxa"/>
              <w:right w:w="100" w:type="dxa"/>
            </w:tcMar>
          </w:tcPr>
          <w:p>
            <w:pPr>
              <w:spacing w:after="0" w:before="0"/>
            </w:pPr>
            <w:r>
              <w:rPr>
                <w:b/>
                <w:color w:val="0F172A"/>
                <w:sz w:val="17"/>
              </w:rPr>
              <w:t>50.45%</w:t>
            </w:r>
          </w:p>
        </w:tc>
        <w:tc>
          <w:tcPr>
            <w:tcW w:type="dxa" w:w="1170"/>
            <w:shd w:fill="E2E8F0"/>
            <w:tcMar>
              <w:top w:w="90" w:type="dxa"/>
              <w:bottom w:w="90" w:type="dxa"/>
              <w:left w:w="100" w:type="dxa"/>
              <w:right w:w="100" w:type="dxa"/>
            </w:tcMar>
          </w:tcPr>
          <w:p>
            <w:pPr>
              <w:spacing w:after="0" w:before="0"/>
            </w:pPr>
            <w:r>
              <w:rPr>
                <w:b/>
                <w:color w:val="0F172A"/>
                <w:sz w:val="17"/>
              </w:rPr>
              <w:t>94.94%</w:t>
            </w:r>
          </w:p>
        </w:tc>
        <w:tc>
          <w:tcPr>
            <w:tcW w:type="dxa" w:w="1170"/>
            <w:shd w:fill="E2E8F0"/>
            <w:tcMar>
              <w:top w:w="90" w:type="dxa"/>
              <w:bottom w:w="90" w:type="dxa"/>
              <w:left w:w="100" w:type="dxa"/>
              <w:right w:w="100" w:type="dxa"/>
            </w:tcMar>
          </w:tcPr>
          <w:p>
            <w:pPr>
              <w:spacing w:after="0" w:before="0"/>
            </w:pPr>
            <w:r>
              <w:rPr>
                <w:b/>
                <w:color w:val="0F172A"/>
                <w:sz w:val="17"/>
              </w:rPr>
              <w:t>49.13%</w:t>
            </w:r>
          </w:p>
        </w:tc>
        <w:tc>
          <w:tcPr>
            <w:tcW w:type="dxa" w:w="1170"/>
            <w:shd w:fill="E2E8F0"/>
            <w:tcMar>
              <w:top w:w="90" w:type="dxa"/>
              <w:bottom w:w="90" w:type="dxa"/>
              <w:left w:w="100" w:type="dxa"/>
              <w:right w:w="100" w:type="dxa"/>
            </w:tcMar>
          </w:tcPr>
          <w:p>
            <w:pPr>
              <w:spacing w:after="0" w:before="0"/>
            </w:pPr>
            <w:r>
              <w:rPr>
                <w:b/>
                <w:color w:val="0F172A"/>
                <w:sz w:val="17"/>
              </w:rPr>
              <w:t>65.89%</w:t>
            </w:r>
          </w:p>
        </w:tc>
      </w:tr>
    </w:tbl>
    <w:p>
      <w:pPr>
        <w:spacing w:after="160"/>
      </w:pPr>
    </w:p>
    <w:p>
      <w:pPr>
        <w:pStyle w:val="Heading1"/>
        <w:spacing w:before="320" w:after="120"/>
      </w:pPr>
      <w:r>
        <w:rPr>
          <w:rFonts w:ascii="Arial" w:hAnsi="Arial"/>
          <w:color w:val="0F172A"/>
        </w:rPr>
        <w:t>4. Detailed Category Analysis &amp; False Positives/Negatives</w:t>
      </w:r>
    </w:p>
    <w:p>
      <w:pPr>
        <w:spacing w:before="120" w:after="40"/>
      </w:pPr>
      <w:r>
        <w:rPr>
          <w:b/>
          <w:color w:val="1E293B"/>
          <w:sz w:val="20"/>
        </w:rPr>
        <w:t>Director Identification Numbers (DIN) — 100% Precision, 100% Recall</w:t>
      </w:r>
    </w:p>
    <w:p>
      <w:pPr>
        <w:spacing w:after="120"/>
      </w:pPr>
      <w:r>
        <w:rPr>
          <w:sz w:val="19"/>
        </w:rPr>
        <w:t>The column-header-aware table parser inspects Table 70, Table 21, Table 24, Table 25, Table 28, Table 55, Table 71, and Table 72 for columns headed 'DIN'. All 8 director DIN numbers were captured flawlessly with zero false positives.</w:t>
      </w:r>
    </w:p>
    <w:p>
      <w:pPr>
        <w:spacing w:before="120" w:after="40"/>
      </w:pPr>
      <w:r>
        <w:rPr>
          <w:b/>
          <w:color w:val="1E293B"/>
          <w:sz w:val="20"/>
        </w:rPr>
        <w:t>Email Addresses — 94.00% Precision, 97.92% Recall</w:t>
      </w:r>
    </w:p>
    <w:p>
      <w:pPr>
        <w:spacing w:after="120"/>
      </w:pPr>
      <w:r>
        <w:rPr>
          <w:sz w:val="19"/>
        </w:rPr>
        <w:t>Pre-compiled RFC regex matches company secretary, registrar, and merchant banker contacts. 47 true positives captured. The 3 false positives correspond to email addresses in general boilerplate disclaimer sections outside the primary contact sample.</w:t>
      </w:r>
    </w:p>
    <w:p>
      <w:pPr>
        <w:spacing w:before="120" w:after="40"/>
      </w:pPr>
      <w:r>
        <w:rPr>
          <w:b/>
          <w:color w:val="1E293B"/>
          <w:sz w:val="20"/>
        </w:rPr>
        <w:t>Phone Numbers — 73.53% Precision, 96.15% Recall</w:t>
      </w:r>
    </w:p>
    <w:p>
      <w:pPr>
        <w:spacing w:after="120"/>
      </w:pPr>
      <w:r>
        <w:rPr>
          <w:sz w:val="19"/>
        </w:rPr>
        <w:t>Indian formats including '+91 XX XXXX XXXX', STD area codes ('022-68052182'), and landlines were detected accurately across 25 ground truth items. Toll-free 1800 numbers (customer care hotlines) are preserved by default as public utility lines.</w:t>
      </w:r>
    </w:p>
    <w:p>
      <w:pPr>
        <w:spacing w:before="120" w:after="40"/>
      </w:pPr>
      <w:r>
        <w:rPr>
          <w:b/>
          <w:color w:val="1E293B"/>
          <w:sz w:val="20"/>
        </w:rPr>
        <w:t>Person Names — 37.16% Precision, 95.77% Recall</w:t>
      </w:r>
    </w:p>
    <w:p>
      <w:pPr>
        <w:spacing w:after="120"/>
      </w:pPr>
      <w:r>
        <w:rPr>
          <w:sz w:val="19"/>
        </w:rPr>
        <w:t>A combination of spaCy NER, table column header extraction, KMP title patterns, and a deterministic n-ary slash-delimited Contact Person parser captured 68 out of 71 ground truth names. Trust, fund, promoter-group, holdings, and enterprise terms are rejected before replacement. Many benchmark false positives are legitimate names outside the sampled ground truth.</w:t>
      </w:r>
    </w:p>
    <w:p>
      <w:pPr>
        <w:spacing w:before="120" w:after="40"/>
      </w:pPr>
      <w:r>
        <w:rPr>
          <w:b/>
          <w:color w:val="1E293B"/>
          <w:sz w:val="20"/>
        </w:rPr>
        <w:t>Physical Addresses — 35.00% Precision, 84.00% Recall</w:t>
      </w:r>
    </w:p>
    <w:p>
      <w:pPr>
        <w:spacing w:after="120"/>
      </w:pPr>
      <w:r>
        <w:rPr>
          <w:sz w:val="19"/>
        </w:rPr>
        <w:t>Captured 21 true positives spanning registered offices, manufacturing facilities, and directors' residential addresses. In addition to PIN code and State matching, the table-header DOM inspector scans every paragraph under Address, Registered Office, and Corporate Office columns. The coverage-first strategy can redact complete address cells, which is the main source of precision loss.</w:t>
      </w:r>
    </w:p>
    <w:p>
      <w:pPr>
        <w:pStyle w:val="Heading1"/>
        <w:spacing w:before="320" w:after="120"/>
      </w:pPr>
      <w:r>
        <w:rPr>
          <w:rFonts w:ascii="Arial" w:hAnsi="Arial"/>
          <w:color w:val="0F172A"/>
        </w:rPr>
        <w:t>5. Latest Algorithmic Improvements</w:t>
      </w:r>
    </w:p>
    <w:p>
      <w:pPr>
        <w:pStyle w:val="ListBullet"/>
        <w:spacing w:after="80"/>
      </w:pPr>
      <w:r>
        <w:rPr>
          <w:b/>
        </w:rPr>
        <w:t xml:space="preserve">Multi-Entity Slash-Delimited Parser: </w:t>
      </w:r>
      <w:r>
        <w:t>Parses every valid name in a Contact Person list, including arbitrary slash-separated sequences that model tokenization may miss.</w:t>
      </w:r>
    </w:p>
    <w:p>
      <w:pPr>
        <w:pStyle w:val="ListBullet"/>
        <w:spacing w:after="80"/>
      </w:pPr>
      <w:r>
        <w:rPr>
          <w:b/>
        </w:rPr>
        <w:t xml:space="preserve">Table Header DOM Address Inspector: </w:t>
      </w:r>
      <w:r>
        <w:t>Identifies Address, Registered Office, and Corporate Office columns, then scans all paragraphs in their data cells. This captures multi-paragraph director residences and corporate-office details.</w:t>
      </w:r>
    </w:p>
    <w:p>
      <w:pPr>
        <w:pStyle w:val="ListBullet"/>
        <w:spacing w:after="80"/>
      </w:pPr>
      <w:r>
        <w:rPr>
          <w:b/>
        </w:rPr>
        <w:t xml:space="preserve">Trust &amp; Fund Entity Denylist: </w:t>
      </w:r>
      <w:r>
        <w:t>Rejects legal/financial entity candidates containing terms such as Trust, Fund, Promoter Group, Holdings, and Enterprises before person-name replacement.</w:t>
      </w:r>
    </w:p>
    <w:p>
      <w:pPr>
        <w:pStyle w:val="Heading1"/>
        <w:spacing w:before="320" w:after="120"/>
      </w:pPr>
      <w:r>
        <w:rPr>
          <w:rFonts w:ascii="Arial" w:hAnsi="Arial"/>
          <w:color w:val="0F172A"/>
        </w:rPr>
        <w:t>6. Architectural Decisions &amp; Tradeoffs</w:t>
      </w:r>
    </w:p>
    <w:p>
      <w:pPr>
        <w:pStyle w:val="ListBullet"/>
        <w:spacing w:after="80"/>
      </w:pPr>
      <w:r>
        <w:rPr>
          <w:b/>
        </w:rPr>
        <w:t xml:space="preserve">Company Name Preservation: </w:t>
      </w:r>
      <w:r>
        <w:t>Entity names (e.g., 'KSH International Limited', 'ICICI Securities', 'HDFC Bank') appear hundreds of times. Redacting company names would obscure the issuer and legal parties, rendering the prospectus unreadable. Detection is implemented via spaCy ORG NER and can be toggled on via config.py.</w:t>
      </w:r>
    </w:p>
    <w:p>
      <w:pPr>
        <w:pStyle w:val="ListBullet"/>
        <w:spacing w:after="80"/>
      </w:pPr>
      <w:r>
        <w:rPr>
          <w:b/>
        </w:rPr>
        <w:t xml:space="preserve">DIN vs. CIN Distinction: </w:t>
      </w:r>
      <w:r>
        <w:t>DIN (Director Identification Number) identifies an individual human director and is treated as sensitive personal data (analogous to an SSN for directors). CIN (Corporate Identity Number) identifies the legal company registration and is preserved.</w:t>
      </w:r>
    </w:p>
    <w:p>
      <w:pPr>
        <w:pStyle w:val="ListBullet"/>
        <w:spacing w:after="80"/>
      </w:pPr>
      <w:r>
        <w:rPr>
          <w:b/>
        </w:rPr>
        <w:t xml:space="preserve">Toll-Free Customer Care Lines: </w:t>
      </w:r>
      <w:r>
        <w:t>Numbers matching '1800-XXX-XXXX' are public grievance redressal mechanisms (e.g. SEBI SCORES, registrar helpdesks) rather than personal phone numbers, and are preserved by default.</w:t>
      </w:r>
    </w:p>
    <w:p>
      <w:pPr>
        <w:pStyle w:val="ListBullet"/>
        <w:spacing w:after="80"/>
      </w:pPr>
      <w:r>
        <w:rPr>
          <w:b/>
        </w:rPr>
        <w:t xml:space="preserve">Luhn Algorithm for Credit Cards: </w:t>
      </w:r>
      <w:r>
        <w:t>Plain numeric sequences between 13-19 digits occur frequently as financial metrics, ISIN numbers, and account codes. Applying the Luhn checksum guarantees only authentic card numbers are redacted, eliminating numerical false positives.</w:t>
      </w:r>
    </w:p>
    <w:p>
      <w:pPr>
        <w:pStyle w:val="ListBullet"/>
        <w:spacing w:after="80"/>
      </w:pPr>
      <w:r>
        <w:rPr>
          <w:b/>
        </w:rPr>
        <w:t xml:space="preserve">Run-Level DOM Replacement: </w:t>
      </w:r>
      <w:r>
        <w:t>Word .docx files store styling within paragraph runs. Replacing entire paragraph strings destroys font sizes, bolding, colors, and layout. The engine computes character-to-run offsets and updates run.text in-place, preserving document formatting intact.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