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drawing>
          <wp:inline xmlns:a="http://schemas.openxmlformats.org/drawingml/2006/main" xmlns:pic="http://schemas.openxmlformats.org/drawingml/2006/picture">
            <wp:extent cx="1828800" cy="780098"/>
            <wp:docPr id="1" name="Picture 1" descr="DeltCRM logo" title="DeltCRM"/>
            <wp:cNvGraphicFramePr>
              <a:graphicFrameLocks noChangeAspect="1"/>
            </wp:cNvGraphicFramePr>
            <a:graphic>
              <a:graphicData uri="http://schemas.openxmlformats.org/drawingml/2006/picture">
                <pic:pic>
                  <pic:nvPicPr>
                    <pic:cNvPr id="0" name="logo-horizontal.png"/>
                    <pic:cNvPicPr/>
                  </pic:nvPicPr>
                  <pic:blipFill>
                    <a:blip r:embed="rId11"/>
                    <a:stretch>
                      <a:fillRect/>
                    </a:stretch>
                  </pic:blipFill>
                  <pic:spPr>
                    <a:xfrm>
                      <a:off x="0" y="0"/>
                      <a:ext cx="1828800" cy="780098"/>
                    </a:xfrm>
                    <a:prstGeom prst="rect"/>
                  </pic:spPr>
                </pic:pic>
              </a:graphicData>
            </a:graphic>
          </wp:inline>
        </w:drawing>
      </w:r>
    </w:p>
    <w:p>
      <w:pPr>
        <w:spacing w:after="100"/>
      </w:pPr>
      <w:r>
        <w:rPr>
          <w:rFonts w:ascii="Calibri" w:hAnsi="Calibri"/>
          <w:b/>
          <w:color w:val="1769FF"/>
          <w:sz w:val="18"/>
        </w:rPr>
        <w:t>PRODUCT KNOWLEDGE TRANSFER &amp; IMPLEMENTATION BRIEF</w:t>
      </w:r>
    </w:p>
    <w:p>
      <w:pPr>
        <w:spacing w:after="140"/>
      </w:pPr>
      <w:r>
        <w:rPr>
          <w:rFonts w:ascii="Calibri" w:hAnsi="Calibri"/>
          <w:b/>
          <w:color w:val="0B1F3A"/>
          <w:sz w:val="54"/>
        </w:rPr>
        <w:t>Payroll Module</w:t>
      </w:r>
    </w:p>
    <w:p>
      <w:pPr>
        <w:spacing w:after="320"/>
      </w:pPr>
      <w:r>
        <w:rPr>
          <w:rFonts w:ascii="Calibri" w:hAnsi="Calibri"/>
          <w:color w:val="64748B"/>
          <w:sz w:val="28"/>
        </w:rPr>
        <w:t>What exists in DeltCRM, what payroll must do, and how it should be built</w:t>
      </w:r>
    </w:p>
    <w:tbl>
      <w:tblPr>
        <w:tblW w:type="dxa" w:w="9360"/>
        <w:jc w:val="center"/>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1800"/>
        <w:gridCol w:w="7560"/>
      </w:tblGrid>
      <w:tr>
        <w:trPr>
          <w:tblHeader w:val="true"/>
        </w:trPr>
        <w:tc>
          <w:tcPr>
            <w:tcW w:type="dxa" w:w="1800"/>
            <w:vAlign w:val="center"/>
            <w:tcMar>
              <w:top w:w="45" w:type="dxa"/>
              <w:start w:w="120" w:type="dxa"/>
              <w:bottom w:w="45" w:type="dxa"/>
              <w:end w:w="120" w:type="dxa"/>
            </w:tcMar>
            <w:shd w:fill="EAF2FF"/>
          </w:tcPr>
          <w:p>
            <w:r>
              <w:rPr>
                <w:rFonts w:ascii="Calibri" w:hAnsi="Calibri"/>
                <w:b/>
                <w:color w:val="1769FF"/>
                <w:sz w:val="19"/>
              </w:rPr>
              <w:t>Audience</w:t>
            </w:r>
          </w:p>
        </w:tc>
        <w:tc>
          <w:tcPr>
            <w:tcW w:type="dxa" w:w="7560"/>
            <w:vAlign w:val="center"/>
            <w:tcMar>
              <w:top w:w="45" w:type="dxa"/>
              <w:start w:w="120" w:type="dxa"/>
              <w:bottom w:w="45" w:type="dxa"/>
              <w:end w:w="120" w:type="dxa"/>
            </w:tcMar>
          </w:tcPr>
          <w:p>
            <w:r>
              <w:rPr>
                <w:rFonts w:ascii="Calibri" w:hAnsi="Calibri"/>
                <w:color w:val="1E293B"/>
                <w:sz w:val="19"/>
              </w:rPr>
              <w:t>Payroll module developer and technical reviewers</w:t>
            </w:r>
          </w:p>
        </w:tc>
      </w:tr>
      <w:tr>
        <w:tc>
          <w:tcPr>
            <w:tcW w:type="dxa" w:w="1800"/>
            <w:vAlign w:val="center"/>
            <w:tcMar>
              <w:top w:w="45" w:type="dxa"/>
              <w:start w:w="120" w:type="dxa"/>
              <w:bottom w:w="45" w:type="dxa"/>
              <w:end w:w="120" w:type="dxa"/>
            </w:tcMar>
            <w:shd w:fill="EAF2FF"/>
          </w:tcPr>
          <w:p>
            <w:r>
              <w:rPr>
                <w:rFonts w:ascii="Calibri" w:hAnsi="Calibri"/>
                <w:b/>
                <w:color w:val="1769FF"/>
                <w:sz w:val="19"/>
              </w:rPr>
              <w:t>Product</w:t>
            </w:r>
          </w:p>
        </w:tc>
        <w:tc>
          <w:tcPr>
            <w:tcW w:type="dxa" w:w="7560"/>
            <w:vAlign w:val="center"/>
            <w:tcMar>
              <w:top w:w="45" w:type="dxa"/>
              <w:start w:w="120" w:type="dxa"/>
              <w:bottom w:w="45" w:type="dxa"/>
              <w:end w:w="120" w:type="dxa"/>
            </w:tcMar>
          </w:tcPr>
          <w:p>
            <w:r>
              <w:rPr>
                <w:rFonts w:ascii="Calibri" w:hAnsi="Calibri"/>
                <w:color w:val="1E293B"/>
                <w:sz w:val="19"/>
              </w:rPr>
              <w:t>DeltCRM multi-tenant workforce management platform</w:t>
            </w:r>
          </w:p>
        </w:tc>
      </w:tr>
      <w:tr>
        <w:tc>
          <w:tcPr>
            <w:tcW w:type="dxa" w:w="1800"/>
            <w:vAlign w:val="center"/>
            <w:tcMar>
              <w:top w:w="45" w:type="dxa"/>
              <w:start w:w="120" w:type="dxa"/>
              <w:bottom w:w="45" w:type="dxa"/>
              <w:end w:w="120" w:type="dxa"/>
            </w:tcMar>
            <w:shd w:fill="EAF2FF"/>
          </w:tcPr>
          <w:p>
            <w:r>
              <w:rPr>
                <w:rFonts w:ascii="Calibri" w:hAnsi="Calibri"/>
                <w:b/>
                <w:color w:val="1769FF"/>
                <w:sz w:val="19"/>
              </w:rPr>
              <w:t>Prepared</w:t>
            </w:r>
          </w:p>
        </w:tc>
        <w:tc>
          <w:tcPr>
            <w:tcW w:type="dxa" w:w="7560"/>
            <w:vAlign w:val="center"/>
            <w:tcMar>
              <w:top w:w="45" w:type="dxa"/>
              <w:start w:w="120" w:type="dxa"/>
              <w:bottom w:w="45" w:type="dxa"/>
              <w:end w:w="120" w:type="dxa"/>
            </w:tcMar>
          </w:tcPr>
          <w:p>
            <w:r>
              <w:rPr>
                <w:rFonts w:ascii="Calibri" w:hAnsi="Calibri"/>
                <w:color w:val="1E293B"/>
                <w:sz w:val="19"/>
              </w:rPr>
              <w:t>26 July 2026</w:t>
            </w:r>
          </w:p>
        </w:tc>
      </w:tr>
    </w:tbl>
    <w:p/>
    <w:tbl>
      <w:tblPr>
        <w:tblW w:type="dxa" w:w="9360"/>
        <w:jc w:val="center"/>
        <w:tblLayout w:type="fixed"/>
        <w:tblLook w:firstColumn="1" w:firstRow="1" w:lastColumn="0" w:lastRow="0" w:noHBand="0" w:noVBand="1" w:val="04A0"/>
        <w:tblInd w:w="120" w:type="dxa"/>
        <w:tblBorders>
          <w:top w:val="single" w:sz="4" w:color="EAF2FF"/>
          <w:left w:val="single" w:sz="4" w:color="EAF2FF"/>
          <w:bottom w:val="single" w:sz="4" w:color="EAF2FF"/>
          <w:right w:val="single" w:sz="4" w:color="EAF2FF"/>
          <w:insideH w:val="single" w:sz="4" w:color="EAF2FF"/>
          <w:insideV w:val="single" w:sz="4" w:color="EAF2FF"/>
        </w:tblBorders>
      </w:tblPr>
      <w:tblGrid>
        <w:gridCol w:w="9360"/>
      </w:tblGrid>
      <w:tr>
        <w:trPr>
          <w:tblHeader w:val="true"/>
        </w:trPr>
        <w:tc>
          <w:tcPr>
            <w:tcW w:type="dxa" w:w="9360"/>
            <w:vAlign w:val="center"/>
            <w:tcMar>
              <w:top w:w="90" w:type="dxa"/>
              <w:start w:w="120" w:type="dxa"/>
              <w:bottom w:w="90" w:type="dxa"/>
              <w:end w:w="120" w:type="dxa"/>
            </w:tcMar>
            <w:shd w:fill="EAF2FF"/>
          </w:tcPr>
          <w:p>
            <w:pPr>
              <w:spacing w:after="0"/>
            </w:pPr>
            <w:r>
              <w:rPr>
                <w:rFonts w:ascii="Calibri" w:hAnsi="Calibri"/>
                <w:b/>
                <w:color w:val="1769FF"/>
              </w:rPr>
              <w:t xml:space="preserve">PRIMARY OBJECTIVE  </w:t>
            </w:r>
            <w:r>
              <w:rPr>
                <w:rFonts w:ascii="Calibri" w:hAnsi="Calibri"/>
                <w:color w:val="1E293B"/>
              </w:rPr>
              <w:t>Build a reliable, auditable payroll product that converts DeltCRM employee, attendance and leave data into approved salary results, payslips and payment outputs without duplicating the systems that already exist.</w:t>
            </w:r>
          </w:p>
        </w:tc>
      </w:tr>
    </w:tbl>
    <w:p>
      <w:pPr>
        <w:spacing w:after="0"/>
      </w:pPr>
    </w:p>
    <w:p>
      <w:pPr>
        <w:pStyle w:val="Heading1"/>
        <w:keepNext/>
      </w:pPr>
      <w:r>
        <w:t>How to use this document</w:t>
      </w:r>
    </w:p>
    <w:p>
      <w:r>
        <w:rPr>
          <w:rFonts w:ascii="Calibri" w:hAnsi="Calibri"/>
          <w:color w:val="1E293B"/>
        </w:rPr>
        <w:t>This is the functional and technical handoff for the first production payroll module. It explains the existing CRM, the role of payroll, the required MVP, expected workflows and engineering constraints. It is intentionally not a country-specific legal manual. Statutory formulas must be configurable and validated with a qualified payroll/legal specialist before a country is enabled in production.</w:t>
      </w:r>
    </w:p>
    <w:p>
      <w:pPr>
        <w:pStyle w:val="Heading1"/>
        <w:keepNext/>
      </w:pPr>
      <w:r>
        <w:t>1. DeltCRM in brief</w:t>
      </w:r>
    </w:p>
    <w:p>
      <w:r>
        <w:rPr>
          <w:rFonts w:ascii="Calibri" w:hAnsi="Calibri"/>
          <w:color w:val="1E293B"/>
        </w:rPr>
        <w:t>DeltCRM is a multi-tenant workforce operations platform. Each customer company is an isolated tenant with its own users, employees, offices, policies, modules and records. The product consists of a Next.js web application, a Flutter employee mobile application, a NestJS modular-monolith API, PostgreSQL through Prisma, background workers/queues, private object storage and generated OpenAPI contracts.</w:t>
      </w:r>
    </w:p>
    <w:p>
      <w:r>
        <w:rPr>
          <w:rFonts w:ascii="Calibri" w:hAnsi="Calibri"/>
          <w:color w:val="1E293B"/>
        </w:rPr>
        <w:t>The platform already supports tenant onboarding and subscriptions, company settings, role-based access, employee lifecycle management, attendance and leave operations, reporting, notifications, auditing and a platform-admin control plane.</w:t>
      </w:r>
    </w:p>
    <w:p>
      <w:pPr>
        <w:pStyle w:val="Heading2"/>
        <w:keepNext/>
      </w:pPr>
      <w:r>
        <w:t>What is already available</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2100"/>
        <w:gridCol w:w="7260"/>
      </w:tblGrid>
      <w:tr>
        <w:trPr>
          <w:tblHeader w:val="true"/>
        </w:trPr>
        <w:tc>
          <w:tcPr>
            <w:tcW w:type="dxa" w:w="2100"/>
            <w:vAlign w:val="center"/>
            <w:tcMar>
              <w:top w:w="90" w:type="dxa"/>
              <w:start w:w="120" w:type="dxa"/>
              <w:bottom w:w="90" w:type="dxa"/>
              <w:end w:w="120" w:type="dxa"/>
            </w:tcMar>
            <w:shd w:fill="0B1F3A"/>
          </w:tcPr>
          <w:p>
            <w:pPr>
              <w:spacing w:after="0"/>
            </w:pPr>
            <w:r>
              <w:rPr>
                <w:rFonts w:ascii="Calibri" w:hAnsi="Calibri"/>
                <w:b/>
                <w:color w:val="FFFFFF"/>
                <w:sz w:val="19"/>
              </w:rPr>
              <w:t>Existing area</w:t>
            </w:r>
          </w:p>
        </w:tc>
        <w:tc>
          <w:tcPr>
            <w:tcW w:type="dxa" w:w="7260"/>
            <w:vAlign w:val="center"/>
            <w:tcMar>
              <w:top w:w="90" w:type="dxa"/>
              <w:start w:w="120" w:type="dxa"/>
              <w:bottom w:w="90" w:type="dxa"/>
              <w:end w:w="120" w:type="dxa"/>
            </w:tcMar>
            <w:shd w:fill="0B1F3A"/>
          </w:tcPr>
          <w:p>
            <w:pPr>
              <w:spacing w:after="0"/>
            </w:pPr>
            <w:r>
              <w:rPr>
                <w:rFonts w:ascii="Calibri" w:hAnsi="Calibri"/>
                <w:b/>
                <w:color w:val="FFFFFF"/>
                <w:sz w:val="19"/>
              </w:rPr>
              <w:t>Capabilities payroll can reuse</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Organization</w:t>
            </w:r>
          </w:p>
        </w:tc>
        <w:tc>
          <w:tcPr>
            <w:tcW w:type="dxa" w:w="7260"/>
            <w:vAlign w:val="center"/>
            <w:tcMar>
              <w:top w:w="90" w:type="dxa"/>
              <w:start w:w="120" w:type="dxa"/>
              <w:bottom w:w="90" w:type="dxa"/>
              <w:end w:w="120" w:type="dxa"/>
            </w:tcMar>
          </w:tcPr>
          <w:p>
            <w:pPr>
              <w:spacing w:after="0"/>
            </w:pPr>
            <w:r>
              <w:rPr>
                <w:rFonts w:ascii="Calibri" w:hAnsi="Calibri"/>
                <w:color w:val="1E293B"/>
                <w:sz w:val="19"/>
              </w:rPr>
              <w:t>Employees, employee code, email/phone, DOB, joining/exit dates, work type, department, designation, manager and employment history.</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Attendance</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Offices, shifts, rosters, holidays, policies, daily status, payable/work minutes, late, overtime, breaks, regularizations and finalized attendance.</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Leave</w:t>
            </w:r>
          </w:p>
        </w:tc>
        <w:tc>
          <w:tcPr>
            <w:tcW w:type="dxa" w:w="7260"/>
            <w:vAlign w:val="center"/>
            <w:tcMar>
              <w:top w:w="90" w:type="dxa"/>
              <w:start w:w="120" w:type="dxa"/>
              <w:bottom w:w="90" w:type="dxa"/>
              <w:end w:w="120" w:type="dxa"/>
            </w:tcMar>
          </w:tcPr>
          <w:p>
            <w:pPr>
              <w:spacing w:after="0"/>
            </w:pPr>
            <w:r>
              <w:rPr>
                <w:rFonts w:ascii="Calibri" w:hAnsi="Calibri"/>
                <w:color w:val="1E293B"/>
                <w:sz w:val="19"/>
              </w:rPr>
              <w:t>Leave policies, balances, ledger, requests, approvals and leave-linked attendance exceptions.</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Payroll readiness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Payroll-ready CSV export, finalized-period validation, immutable payroll lock, stale-export detection and reopen audit trail.</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Identity &amp; access</w:t>
            </w:r>
          </w:p>
        </w:tc>
        <w:tc>
          <w:tcPr>
            <w:tcW w:type="dxa" w:w="7260"/>
            <w:vAlign w:val="center"/>
            <w:tcMar>
              <w:top w:w="90" w:type="dxa"/>
              <w:start w:w="120" w:type="dxa"/>
              <w:bottom w:w="90" w:type="dxa"/>
              <w:end w:w="120" w:type="dxa"/>
            </w:tcMar>
          </w:tcPr>
          <w:p>
            <w:pPr>
              <w:spacing w:after="0"/>
            </w:pPr>
            <w:r>
              <w:rPr>
                <w:rFonts w:ascii="Calibri" w:hAnsi="Calibri"/>
                <w:color w:val="1E293B"/>
                <w:sz w:val="19"/>
              </w:rPr>
              <w:t>Business Admin, HR Admin, Manager, Employee and custom roles with granular permissions.</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Platform services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Tenant isolation, module entitlement, audit log, outbox events, notifications, reports, object storage and API contracts.</w:t>
            </w:r>
          </w:p>
        </w:tc>
      </w:tr>
    </w:tbl>
    <w:p>
      <w:pPr>
        <w:spacing w:after="0"/>
      </w:pPr>
    </w:p>
    <w:p>
      <w:pPr>
        <w:pStyle w:val="Heading2"/>
        <w:keepNext/>
      </w:pPr>
      <w:r>
        <w:t>Current payroll-related capability is not a payroll engine</w:t>
      </w:r>
    </w:p>
    <w:p>
      <w:r>
        <w:rPr>
          <w:rFonts w:ascii="Calibri" w:hAnsi="Calibri"/>
          <w:color w:val="1E293B"/>
        </w:rPr>
        <w:t>Today, the PAYROLL module entry is largely a placeholder around attendance export and period locking. The export contains employee code/name, period, payable days/minutes, overtime minutes, late minutes and loss-of-pay days. DeltCRM does not yet store employee salary structures, calculate gross/net pay, process deductions, generate payslips, create bank payment files or maintain payroll run history.</w:t>
      </w:r>
    </w:p>
    <w:p>
      <w:pPr>
        <w:pStyle w:val="Heading1"/>
        <w:keepNext/>
      </w:pPr>
      <w:r>
        <w:t>2. What payroll means in DeltCRM</w:t>
      </w:r>
    </w:p>
    <w:p>
      <w:r>
        <w:rPr>
          <w:rFonts w:ascii="Calibri" w:hAnsi="Calibri"/>
          <w:color w:val="1E293B"/>
        </w:rPr>
        <w:t>Payroll is the controlled monthly process that converts an employee's employment terms and approved operational inputs into earnings, deductions, employer costs, net pay and an immutable payslip. Its role is not only calculation: it provides repeatability, approvals, traceability, privacy and a defensible historical record.</w:t>
      </w:r>
    </w:p>
    <w:p>
      <w:pPr>
        <w:pStyle w:val="Heading2"/>
        <w:keepNext/>
      </w:pPr>
      <w:r>
        <w:t>Business outcomes</w:t>
      </w:r>
    </w:p>
    <w:p>
      <w:pPr>
        <w:pStyle w:val="ListBullet"/>
      </w:pPr>
      <w:r>
        <w:rPr>
          <w:rFonts w:ascii="Calibri" w:hAnsi="Calibri"/>
          <w:color w:val="1E293B"/>
        </w:rPr>
        <w:t>HR can configure salary structures and employee compensation without spreadsheets.</w:t>
      </w:r>
    </w:p>
    <w:p>
      <w:pPr>
        <w:pStyle w:val="ListBullet"/>
      </w:pPr>
      <w:r>
        <w:rPr>
          <w:rFonts w:ascii="Calibri" w:hAnsi="Calibri"/>
          <w:color w:val="1E293B"/>
        </w:rPr>
        <w:t>Attendance, paid leave, unpaid leave, holidays, overtime and loss-of-pay flow into payroll consistently.</w:t>
      </w:r>
    </w:p>
    <w:p>
      <w:pPr>
        <w:pStyle w:val="ListBullet"/>
      </w:pPr>
      <w:r>
        <w:rPr>
          <w:rFonts w:ascii="Calibri" w:hAnsi="Calibri"/>
          <w:color w:val="1E293B"/>
        </w:rPr>
        <w:t>Payroll administrators can calculate, review exceptions, adjust with reasons, approve and finalize a period.</w:t>
      </w:r>
    </w:p>
    <w:p>
      <w:pPr>
        <w:pStyle w:val="ListBullet"/>
      </w:pPr>
      <w:r>
        <w:rPr>
          <w:rFonts w:ascii="Calibri" w:hAnsi="Calibri"/>
          <w:color w:val="1E293B"/>
        </w:rPr>
        <w:t>Employees can securely view and download their own payslips.</w:t>
      </w:r>
    </w:p>
    <w:p>
      <w:pPr>
        <w:pStyle w:val="ListBullet"/>
      </w:pPr>
      <w:r>
        <w:rPr>
          <w:rFonts w:ascii="Calibri" w:hAnsi="Calibri"/>
          <w:color w:val="1E293B"/>
        </w:rPr>
        <w:t>Finance can export an approved bank-payment file and payroll summaries.</w:t>
      </w:r>
    </w:p>
    <w:p>
      <w:pPr>
        <w:pStyle w:val="ListBullet"/>
      </w:pPr>
      <w:r>
        <w:rPr>
          <w:rFonts w:ascii="Calibri" w:hAnsi="Calibri"/>
          <w:color w:val="1E293B"/>
        </w:rPr>
        <w:t>Every sensitive action and every calculated value can be traced to its source and rule version.</w:t>
      </w:r>
    </w:p>
    <w:p>
      <w:pPr>
        <w:pStyle w:val="ListBullet"/>
      </w:pPr>
      <w:r>
        <w:rPr>
          <w:rFonts w:ascii="Calibri" w:hAnsi="Calibri"/>
          <w:color w:val="1E293B"/>
        </w:rPr>
        <w:t>The module works for different tenant countries and currencies without hardcoded INR, OMR or tax formulas.</w:t>
      </w:r>
    </w:p>
    <w:p>
      <w:pPr>
        <w:pStyle w:val="Heading2"/>
        <w:keepNext/>
      </w:pPr>
      <w:r>
        <w:t>Ownership boundary</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1700"/>
        <w:gridCol w:w="3500"/>
        <w:gridCol w:w="4160"/>
      </w:tblGrid>
      <w:tr>
        <w:trPr>
          <w:tblHeader w:val="true"/>
        </w:trPr>
        <w:tc>
          <w:tcPr>
            <w:tcW w:type="dxa" w:w="1700"/>
            <w:vAlign w:val="center"/>
            <w:tcMar>
              <w:top w:w="90" w:type="dxa"/>
              <w:start w:w="120" w:type="dxa"/>
              <w:bottom w:w="90" w:type="dxa"/>
              <w:end w:w="120" w:type="dxa"/>
            </w:tcMar>
            <w:shd w:fill="0B1F3A"/>
          </w:tcPr>
          <w:p>
            <w:pPr>
              <w:spacing w:after="0"/>
            </w:pPr>
            <w:r>
              <w:rPr>
                <w:rFonts w:ascii="Calibri" w:hAnsi="Calibri"/>
                <w:b/>
                <w:color w:val="FFFFFF"/>
                <w:sz w:val="19"/>
              </w:rPr>
              <w:t>System area</w:t>
            </w:r>
          </w:p>
        </w:tc>
        <w:tc>
          <w:tcPr>
            <w:tcW w:type="dxa" w:w="3500"/>
            <w:vAlign w:val="center"/>
            <w:tcMar>
              <w:top w:w="90" w:type="dxa"/>
              <w:start w:w="120" w:type="dxa"/>
              <w:bottom w:w="90" w:type="dxa"/>
              <w:end w:w="120" w:type="dxa"/>
            </w:tcMar>
            <w:shd w:fill="0B1F3A"/>
          </w:tcPr>
          <w:p>
            <w:pPr>
              <w:spacing w:after="0"/>
            </w:pPr>
            <w:r>
              <w:rPr>
                <w:rFonts w:ascii="Calibri" w:hAnsi="Calibri"/>
                <w:b/>
                <w:color w:val="FFFFFF"/>
                <w:sz w:val="19"/>
              </w:rPr>
              <w:t>Owns</w:t>
            </w:r>
          </w:p>
        </w:tc>
        <w:tc>
          <w:tcPr>
            <w:tcW w:type="dxa" w:w="4160"/>
            <w:vAlign w:val="center"/>
            <w:tcMar>
              <w:top w:w="90" w:type="dxa"/>
              <w:start w:w="120" w:type="dxa"/>
              <w:bottom w:w="90" w:type="dxa"/>
              <w:end w:w="120" w:type="dxa"/>
            </w:tcMar>
            <w:shd w:fill="0B1F3A"/>
          </w:tcPr>
          <w:p>
            <w:pPr>
              <w:spacing w:after="0"/>
            </w:pPr>
            <w:r>
              <w:rPr>
                <w:rFonts w:ascii="Calibri" w:hAnsi="Calibri"/>
                <w:b/>
                <w:color w:val="FFFFFF"/>
                <w:sz w:val="19"/>
              </w:rPr>
              <w:t>Payroll relationship</w:t>
            </w:r>
          </w:p>
        </w:tc>
      </w:tr>
      <w:tr>
        <w:tc>
          <w:tcPr>
            <w:tcW w:type="dxa" w:w="1700"/>
            <w:vAlign w:val="center"/>
            <w:tcMar>
              <w:top w:w="90" w:type="dxa"/>
              <w:start w:w="120" w:type="dxa"/>
              <w:bottom w:w="90" w:type="dxa"/>
              <w:end w:w="120" w:type="dxa"/>
            </w:tcMar>
          </w:tcPr>
          <w:p>
            <w:pPr>
              <w:spacing w:after="0"/>
            </w:pPr>
            <w:r>
              <w:rPr>
                <w:rFonts w:ascii="Calibri" w:hAnsi="Calibri"/>
                <w:color w:val="1E293B"/>
                <w:sz w:val="19"/>
              </w:rPr>
              <w:t>Organization</w:t>
            </w:r>
          </w:p>
        </w:tc>
        <w:tc>
          <w:tcPr>
            <w:tcW w:type="dxa" w:w="3500"/>
            <w:vAlign w:val="center"/>
            <w:tcMar>
              <w:top w:w="90" w:type="dxa"/>
              <w:start w:w="120" w:type="dxa"/>
              <w:bottom w:w="90" w:type="dxa"/>
              <w:end w:w="120" w:type="dxa"/>
            </w:tcMar>
          </w:tcPr>
          <w:p>
            <w:pPr>
              <w:spacing w:after="0"/>
            </w:pPr>
            <w:r>
              <w:rPr>
                <w:rFonts w:ascii="Calibri" w:hAnsi="Calibri"/>
                <w:color w:val="1E293B"/>
                <w:sz w:val="19"/>
              </w:rPr>
              <w:t>Employee identity, placement and lifecycle</w:t>
            </w:r>
          </w:p>
        </w:tc>
        <w:tc>
          <w:tcPr>
            <w:tcW w:type="dxa" w:w="4160"/>
            <w:vAlign w:val="center"/>
            <w:tcMar>
              <w:top w:w="90" w:type="dxa"/>
              <w:start w:w="120" w:type="dxa"/>
              <w:bottom w:w="90" w:type="dxa"/>
              <w:end w:w="120" w:type="dxa"/>
            </w:tcMar>
          </w:tcPr>
          <w:p>
            <w:pPr>
              <w:spacing w:after="0"/>
            </w:pPr>
            <w:r>
              <w:rPr>
                <w:rFonts w:ascii="Calibri" w:hAnsi="Calibri"/>
                <w:color w:val="1E293B"/>
                <w:sz w:val="19"/>
              </w:rPr>
              <w:t>Payroll reads employee data; it does not duplicate the employee master.</w:t>
            </w:r>
          </w:p>
        </w:tc>
      </w:tr>
      <w:tr>
        <w:tc>
          <w:tcPr>
            <w:tcW w:type="dxa" w:w="1700"/>
            <w:shd w:fill="F3F6FA"/>
            <w:vAlign w:val="center"/>
            <w:tcMar>
              <w:top w:w="90" w:type="dxa"/>
              <w:start w:w="120" w:type="dxa"/>
              <w:bottom w:w="90" w:type="dxa"/>
              <w:end w:w="120" w:type="dxa"/>
            </w:tcMar>
          </w:tcPr>
          <w:p>
            <w:pPr>
              <w:spacing w:after="0"/>
            </w:pPr>
            <w:r>
              <w:rPr>
                <w:rFonts w:ascii="Calibri" w:hAnsi="Calibri"/>
                <w:color w:val="1E293B"/>
                <w:sz w:val="19"/>
              </w:rPr>
              <w:t>Attendance &amp; Leave</w:t>
            </w:r>
          </w:p>
        </w:tc>
        <w:tc>
          <w:tcPr>
            <w:tcW w:type="dxa" w:w="3500"/>
            <w:shd w:fill="F3F6FA"/>
            <w:vAlign w:val="center"/>
            <w:tcMar>
              <w:top w:w="90" w:type="dxa"/>
              <w:start w:w="120" w:type="dxa"/>
              <w:bottom w:w="90" w:type="dxa"/>
              <w:end w:w="120" w:type="dxa"/>
            </w:tcMar>
          </w:tcPr>
          <w:p>
            <w:pPr>
              <w:spacing w:after="0"/>
            </w:pPr>
            <w:r>
              <w:rPr>
                <w:rFonts w:ascii="Calibri" w:hAnsi="Calibri"/>
                <w:color w:val="1E293B"/>
                <w:sz w:val="19"/>
              </w:rPr>
              <w:t>Operational time, status, leave and payroll-period lock</w:t>
            </w:r>
          </w:p>
        </w:tc>
        <w:tc>
          <w:tcPr>
            <w:tcW w:type="dxa" w:w="4160"/>
            <w:shd w:fill="F3F6FA"/>
            <w:vAlign w:val="center"/>
            <w:tcMar>
              <w:top w:w="90" w:type="dxa"/>
              <w:start w:w="120" w:type="dxa"/>
              <w:bottom w:w="90" w:type="dxa"/>
              <w:end w:w="120" w:type="dxa"/>
            </w:tcMar>
          </w:tcPr>
          <w:p>
            <w:pPr>
              <w:spacing w:after="0"/>
            </w:pPr>
            <w:r>
              <w:rPr>
                <w:rFonts w:ascii="Calibri" w:hAnsi="Calibri"/>
                <w:color w:val="1E293B"/>
                <w:sz w:val="19"/>
              </w:rPr>
              <w:t>Produces a finalized, versioned payroll input snapshot.</w:t>
            </w:r>
          </w:p>
        </w:tc>
      </w:tr>
      <w:tr>
        <w:tc>
          <w:tcPr>
            <w:tcW w:type="dxa" w:w="1700"/>
            <w:vAlign w:val="center"/>
            <w:tcMar>
              <w:top w:w="90" w:type="dxa"/>
              <w:start w:w="120" w:type="dxa"/>
              <w:bottom w:w="90" w:type="dxa"/>
              <w:end w:w="120" w:type="dxa"/>
            </w:tcMar>
          </w:tcPr>
          <w:p>
            <w:pPr>
              <w:spacing w:after="0"/>
            </w:pPr>
            <w:r>
              <w:rPr>
                <w:rFonts w:ascii="Calibri" w:hAnsi="Calibri"/>
                <w:color w:val="1E293B"/>
                <w:sz w:val="19"/>
              </w:rPr>
              <w:t>Payroll</w:t>
            </w:r>
          </w:p>
        </w:tc>
        <w:tc>
          <w:tcPr>
            <w:tcW w:type="dxa" w:w="3500"/>
            <w:vAlign w:val="center"/>
            <w:tcMar>
              <w:top w:w="90" w:type="dxa"/>
              <w:start w:w="120" w:type="dxa"/>
              <w:bottom w:w="90" w:type="dxa"/>
              <w:end w:w="120" w:type="dxa"/>
            </w:tcMar>
          </w:tcPr>
          <w:p>
            <w:pPr>
              <w:spacing w:after="0"/>
            </w:pPr>
            <w:r>
              <w:rPr>
                <w:rFonts w:ascii="Calibri" w:hAnsi="Calibri"/>
                <w:color w:val="1E293B"/>
                <w:sz w:val="19"/>
              </w:rPr>
              <w:t>Compensation, calculations, runs, approvals, payslips and payment outputs</w:t>
            </w:r>
          </w:p>
        </w:tc>
        <w:tc>
          <w:tcPr>
            <w:tcW w:type="dxa" w:w="4160"/>
            <w:vAlign w:val="center"/>
            <w:tcMar>
              <w:top w:w="90" w:type="dxa"/>
              <w:start w:w="120" w:type="dxa"/>
              <w:bottom w:w="90" w:type="dxa"/>
              <w:end w:w="120" w:type="dxa"/>
            </w:tcMar>
          </w:tcPr>
          <w:p>
            <w:pPr>
              <w:spacing w:after="0"/>
            </w:pPr>
            <w:r>
              <w:rPr>
                <w:rFonts w:ascii="Calibri" w:hAnsi="Calibri"/>
                <w:color w:val="1E293B"/>
                <w:sz w:val="19"/>
              </w:rPr>
              <w:t>Consumes snapshots and never edits attendance or leave.</w:t>
            </w:r>
          </w:p>
        </w:tc>
      </w:tr>
      <w:tr>
        <w:tc>
          <w:tcPr>
            <w:tcW w:type="dxa" w:w="1700"/>
            <w:shd w:fill="F3F6FA"/>
            <w:vAlign w:val="center"/>
            <w:tcMar>
              <w:top w:w="90" w:type="dxa"/>
              <w:start w:w="120" w:type="dxa"/>
              <w:bottom w:w="90" w:type="dxa"/>
              <w:end w:w="120" w:type="dxa"/>
            </w:tcMar>
          </w:tcPr>
          <w:p>
            <w:pPr>
              <w:spacing w:after="0"/>
            </w:pPr>
            <w:r>
              <w:rPr>
                <w:rFonts w:ascii="Calibri" w:hAnsi="Calibri"/>
                <w:color w:val="1E293B"/>
                <w:sz w:val="19"/>
              </w:rPr>
              <w:t>Billing</w:t>
            </w:r>
          </w:p>
        </w:tc>
        <w:tc>
          <w:tcPr>
            <w:tcW w:type="dxa" w:w="3500"/>
            <w:shd w:fill="F3F6FA"/>
            <w:vAlign w:val="center"/>
            <w:tcMar>
              <w:top w:w="90" w:type="dxa"/>
              <w:start w:w="120" w:type="dxa"/>
              <w:bottom w:w="90" w:type="dxa"/>
              <w:end w:w="120" w:type="dxa"/>
            </w:tcMar>
          </w:tcPr>
          <w:p>
            <w:pPr>
              <w:spacing w:after="0"/>
            </w:pPr>
            <w:r>
              <w:rPr>
                <w:rFonts w:ascii="Calibri" w:hAnsi="Calibri"/>
                <w:color w:val="1E293B"/>
                <w:sz w:val="19"/>
              </w:rPr>
              <w:t>DeltCRM tenant subscription and invoices</w:t>
            </w:r>
          </w:p>
        </w:tc>
        <w:tc>
          <w:tcPr>
            <w:tcW w:type="dxa" w:w="4160"/>
            <w:shd w:fill="F3F6FA"/>
            <w:vAlign w:val="center"/>
            <w:tcMar>
              <w:top w:w="90" w:type="dxa"/>
              <w:start w:w="120" w:type="dxa"/>
              <w:bottom w:w="90" w:type="dxa"/>
              <w:end w:w="120" w:type="dxa"/>
            </w:tcMar>
          </w:tcPr>
          <w:p>
            <w:pPr>
              <w:spacing w:after="0"/>
            </w:pPr>
            <w:r>
              <w:rPr>
                <w:rFonts w:ascii="Calibri" w:hAnsi="Calibri"/>
                <w:color w:val="1E293B"/>
                <w:sz w:val="19"/>
              </w:rPr>
              <w:t>Completely separate from employee payroll.</w:t>
            </w:r>
          </w:p>
        </w:tc>
      </w:tr>
    </w:tbl>
    <w:p>
      <w:pPr>
        <w:spacing w:after="0"/>
      </w:pPr>
    </w:p>
    <w:tbl>
      <w:tblPr>
        <w:tblW w:type="dxa" w:w="9360"/>
        <w:jc w:val="center"/>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trPr>
        <w:tc>
          <w:tcPr>
            <w:tcW w:type="dxa" w:w="9360"/>
            <w:vAlign w:val="center"/>
            <w:tcMar>
              <w:top w:w="90" w:type="dxa"/>
              <w:start w:w="120" w:type="dxa"/>
              <w:bottom w:w="90" w:type="dxa"/>
              <w:end w:w="120" w:type="dxa"/>
            </w:tcMar>
            <w:shd w:fill="FFF8E6"/>
          </w:tcPr>
          <w:p>
            <w:pPr>
              <w:spacing w:after="0"/>
            </w:pPr>
            <w:r>
              <w:rPr>
                <w:rFonts w:ascii="Calibri" w:hAnsi="Calibri"/>
                <w:b/>
                <w:color w:val="9A6700"/>
              </w:rPr>
              <w:t xml:space="preserve">NON-NEGOTIABLE  </w:t>
            </w:r>
            <w:r>
              <w:rPr>
                <w:rFonts w:ascii="Calibri" w:hAnsi="Calibri"/>
                <w:color w:val="1E293B"/>
              </w:rPr>
              <w:t>An approved payroll must never depend on live mutable attendance rows. A payroll run must reference an immutable input snapshot/checksum and retain the rule and salary versions used for calculation.</w:t>
            </w:r>
          </w:p>
        </w:tc>
      </w:tr>
    </w:tbl>
    <w:p>
      <w:pPr>
        <w:spacing w:after="0"/>
      </w:pPr>
    </w:p>
    <w:p>
      <w:pPr>
        <w:pStyle w:val="Heading1"/>
        <w:keepNext/>
      </w:pPr>
      <w:r>
        <w:t>3. MVP scope: what must be built</w:t>
      </w:r>
    </w:p>
    <w:p>
      <w:pPr>
        <w:pStyle w:val="Heading2"/>
        <w:keepNext/>
      </w:pPr>
      <w:r>
        <w:t>A. Payroll setup</w:t>
      </w:r>
    </w:p>
    <w:p>
      <w:pPr>
        <w:pStyle w:val="ListBullet"/>
      </w:pPr>
      <w:r>
        <w:rPr>
          <w:rFonts w:ascii="Calibri" w:hAnsi="Calibri"/>
          <w:color w:val="1E293B"/>
        </w:rPr>
        <w:t>Tenant payroll settings: billing/legal country, payroll currency, locale, timezone, pay frequency, pay-period dates, payout date, rounding policy and working-day basis.</w:t>
      </w:r>
    </w:p>
    <w:p>
      <w:pPr>
        <w:pStyle w:val="ListBullet"/>
      </w:pPr>
      <w:r>
        <w:rPr>
          <w:rFonts w:ascii="Calibri" w:hAnsi="Calibri"/>
          <w:color w:val="1E293B"/>
        </w:rPr>
        <w:t>Pay components: earning, deduction, employer contribution, reimbursement and informational components; fixed or variable; taxable/statutory flags; calculation order; effective dates.</w:t>
      </w:r>
    </w:p>
    <w:p>
      <w:pPr>
        <w:pStyle w:val="ListBullet"/>
      </w:pPr>
      <w:r>
        <w:rPr>
          <w:rFonts w:ascii="Calibri" w:hAnsi="Calibri"/>
          <w:color w:val="1E293B"/>
        </w:rPr>
        <w:t>Reusable salary structures/grades with component formulas or fixed amounts.</w:t>
      </w:r>
    </w:p>
    <w:p>
      <w:pPr>
        <w:pStyle w:val="ListBullet"/>
      </w:pPr>
      <w:r>
        <w:rPr>
          <w:rFonts w:ascii="Calibri" w:hAnsi="Calibri"/>
          <w:color w:val="1E293B"/>
        </w:rPr>
        <w:t>Employee payroll profile: salary structure, effective-dated compensation, payment method, masked bank details, statutory/tax identifiers, payroll status and joining/exit treatment.</w:t>
      </w:r>
    </w:p>
    <w:p>
      <w:pPr>
        <w:pStyle w:val="ListBullet"/>
      </w:pPr>
      <w:r>
        <w:rPr>
          <w:rFonts w:ascii="Calibri" w:hAnsi="Calibri"/>
          <w:color w:val="1E293B"/>
        </w:rPr>
        <w:t>Opening balances and year-to-date values for tenants migrating from another payroll system.</w:t>
      </w:r>
    </w:p>
    <w:p>
      <w:pPr>
        <w:pStyle w:val="Heading2"/>
        <w:keepNext/>
      </w:pPr>
      <w:r>
        <w:t>B. Payroll inputs</w:t>
      </w:r>
    </w:p>
    <w:p>
      <w:pPr>
        <w:pStyle w:val="ListBullet"/>
      </w:pPr>
      <w:r>
        <w:rPr>
          <w:rFonts w:ascii="Calibri" w:hAnsi="Calibri"/>
          <w:color w:val="1E293B"/>
        </w:rPr>
        <w:t>Locked attendance snapshot: payable days/minutes, overtime, late/early-leave values, unpaid leave and loss-of-pay.</w:t>
      </w:r>
    </w:p>
    <w:p>
      <w:pPr>
        <w:pStyle w:val="ListBullet"/>
      </w:pPr>
      <w:r>
        <w:rPr>
          <w:rFonts w:ascii="Calibri" w:hAnsi="Calibri"/>
          <w:color w:val="1E293B"/>
        </w:rPr>
        <w:t>Recurring inputs: allowances or deductions that repeat for a defined effective period.</w:t>
      </w:r>
    </w:p>
    <w:p>
      <w:pPr>
        <w:pStyle w:val="ListBullet"/>
      </w:pPr>
      <w:r>
        <w:rPr>
          <w:rFonts w:ascii="Calibri" w:hAnsi="Calibri"/>
          <w:color w:val="1E293B"/>
        </w:rPr>
        <w:t>One-time inputs: bonus, incentive, arrears, reimbursement, recovery or correction, with supporting note/document.</w:t>
      </w:r>
    </w:p>
    <w:p>
      <w:pPr>
        <w:pStyle w:val="ListBullet"/>
      </w:pPr>
      <w:r>
        <w:rPr>
          <w:rFonts w:ascii="Calibri" w:hAnsi="Calibri"/>
          <w:color w:val="1E293B"/>
        </w:rPr>
        <w:t>Joiner and leaver inputs: proration, held salary, final period and exit date.</w:t>
      </w:r>
    </w:p>
    <w:p>
      <w:pPr>
        <w:pStyle w:val="ListBullet"/>
      </w:pPr>
      <w:r>
        <w:rPr>
          <w:rFonts w:ascii="Calibri" w:hAnsi="Calibri"/>
          <w:color w:val="1E293B"/>
        </w:rPr>
        <w:t>Bulk upload with template, validation preview, row-level errors and idempotent retry.</w:t>
      </w:r>
    </w:p>
    <w:p>
      <w:pPr>
        <w:pStyle w:val="Heading2"/>
        <w:keepNext/>
      </w:pPr>
      <w:r>
        <w:t>C. Payroll processing</w:t>
      </w:r>
    </w:p>
    <w:p>
      <w:pPr>
        <w:pStyle w:val="ListBullet"/>
      </w:pPr>
      <w:r>
        <w:rPr>
          <w:rFonts w:ascii="Calibri" w:hAnsi="Calibri"/>
          <w:color w:val="1E293B"/>
        </w:rPr>
        <w:t>Create one run per tenant, pay group and period; prevent accidental duplicates.</w:t>
      </w:r>
    </w:p>
    <w:p>
      <w:pPr>
        <w:pStyle w:val="ListBullet"/>
      </w:pPr>
      <w:r>
        <w:rPr>
          <w:rFonts w:ascii="Calibri" w:hAnsi="Calibri"/>
          <w:color w:val="1E293B"/>
        </w:rPr>
        <w:t>Validate missing salary, missing bank data, unlocked/stale attendance, invalid formulas, negative net pay and unresolved employee inputs.</w:t>
      </w:r>
    </w:p>
    <w:p>
      <w:pPr>
        <w:pStyle w:val="ListBullet"/>
      </w:pPr>
      <w:r>
        <w:rPr>
          <w:rFonts w:ascii="Calibri" w:hAnsi="Calibri"/>
          <w:color w:val="1E293B"/>
        </w:rPr>
        <w:t>Calculate employee-level earnings, deductions, employer costs, gross pay, taxable pay and net pay using versioned rules.</w:t>
      </w:r>
    </w:p>
    <w:p>
      <w:pPr>
        <w:pStyle w:val="ListBullet"/>
      </w:pPr>
      <w:r>
        <w:rPr>
          <w:rFonts w:ascii="Calibri" w:hAnsi="Calibri"/>
          <w:color w:val="1E293B"/>
        </w:rPr>
        <w:t>Support recalculation before approval. Manual overrides require a reason, actor and before/after audit record.</w:t>
      </w:r>
    </w:p>
    <w:p>
      <w:pPr>
        <w:pStyle w:val="ListBullet"/>
      </w:pPr>
      <w:r>
        <w:rPr>
          <w:rFonts w:ascii="Calibri" w:hAnsi="Calibri"/>
          <w:color w:val="1E293B"/>
        </w:rPr>
        <w:t>Provide employee comparison against the previous period and run-level variance indicators.</w:t>
      </w:r>
    </w:p>
    <w:p>
      <w:pPr>
        <w:pStyle w:val="ListBullet"/>
      </w:pPr>
      <w:r>
        <w:rPr>
          <w:rFonts w:ascii="Calibri" w:hAnsi="Calibri"/>
          <w:color w:val="1E293B"/>
        </w:rPr>
        <w:t>Separate maker and approver actions where the tenant enables four-eyes approval.</w:t>
      </w:r>
    </w:p>
    <w:p>
      <w:pPr>
        <w:pStyle w:val="Heading2"/>
        <w:keepNext/>
      </w:pPr>
      <w:r>
        <w:t>D. Outputs</w:t>
      </w:r>
    </w:p>
    <w:p>
      <w:pPr>
        <w:pStyle w:val="ListBullet"/>
      </w:pPr>
      <w:r>
        <w:rPr>
          <w:rFonts w:ascii="Calibri" w:hAnsi="Calibri"/>
          <w:color w:val="1E293B"/>
        </w:rPr>
        <w:t>Employee payslip in web/mobile and downloadable PDF, showing period, earnings, deductions, net pay and year-to-date values.</w:t>
      </w:r>
    </w:p>
    <w:p>
      <w:pPr>
        <w:pStyle w:val="ListBullet"/>
      </w:pPr>
      <w:r>
        <w:rPr>
          <w:rFonts w:ascii="Calibri" w:hAnsi="Calibri"/>
          <w:color w:val="1E293B"/>
        </w:rPr>
        <w:t>Payroll register with department, office, component and employee breakdowns.</w:t>
      </w:r>
    </w:p>
    <w:p>
      <w:pPr>
        <w:pStyle w:val="ListBullet"/>
      </w:pPr>
      <w:r>
        <w:rPr>
          <w:rFonts w:ascii="Calibri" w:hAnsi="Calibri"/>
          <w:color w:val="1E293B"/>
        </w:rPr>
        <w:t>Bank-transfer export generated from finalized payroll, with a configurable export adapter rather than one hardcoded bank format.</w:t>
      </w:r>
    </w:p>
    <w:p>
      <w:pPr>
        <w:pStyle w:val="ListBullet"/>
      </w:pPr>
      <w:r>
        <w:rPr>
          <w:rFonts w:ascii="Calibri" w:hAnsi="Calibri"/>
          <w:color w:val="1E293B"/>
        </w:rPr>
        <w:t>Accounting/journal export with configurable account mappings.</w:t>
      </w:r>
    </w:p>
    <w:p>
      <w:pPr>
        <w:pStyle w:val="ListBullet"/>
      </w:pPr>
      <w:r>
        <w:rPr>
          <w:rFonts w:ascii="Calibri" w:hAnsi="Calibri"/>
          <w:color w:val="1E293B"/>
        </w:rPr>
        <w:t>Run summary, variance report, exception report, loss-of-pay/overtime report and audit report.</w:t>
      </w:r>
    </w:p>
    <w:p>
      <w:pPr>
        <w:pStyle w:val="Heading1"/>
        <w:keepNext/>
      </w:pPr>
      <w:r>
        <w:t>4. Required monthly workflow</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1650"/>
        <w:gridCol w:w="7710"/>
      </w:tblGrid>
      <w:tr>
        <w:trPr>
          <w:tblHeader w:val="true"/>
        </w:trPr>
        <w:tc>
          <w:tcPr>
            <w:tcW w:type="dxa" w:w="1650"/>
            <w:vAlign w:val="center"/>
            <w:tcMar>
              <w:top w:w="90" w:type="dxa"/>
              <w:start w:w="120" w:type="dxa"/>
              <w:bottom w:w="90" w:type="dxa"/>
              <w:end w:w="120" w:type="dxa"/>
            </w:tcMar>
            <w:shd w:fill="0B1F3A"/>
          </w:tcPr>
          <w:p>
            <w:pPr>
              <w:spacing w:after="0"/>
            </w:pPr>
            <w:r>
              <w:rPr>
                <w:rFonts w:ascii="Calibri" w:hAnsi="Calibri"/>
                <w:b/>
                <w:color w:val="FFFFFF"/>
                <w:sz w:val="19"/>
              </w:rPr>
              <w:t>Stage</w:t>
            </w:r>
          </w:p>
        </w:tc>
        <w:tc>
          <w:tcPr>
            <w:tcW w:type="dxa" w:w="7710"/>
            <w:vAlign w:val="center"/>
            <w:tcMar>
              <w:top w:w="90" w:type="dxa"/>
              <w:start w:w="120" w:type="dxa"/>
              <w:bottom w:w="90" w:type="dxa"/>
              <w:end w:w="120" w:type="dxa"/>
            </w:tcMar>
            <w:shd w:fill="0B1F3A"/>
          </w:tcPr>
          <w:p>
            <w:pPr>
              <w:spacing w:after="0"/>
            </w:pPr>
            <w:r>
              <w:rPr>
                <w:rFonts w:ascii="Calibri" w:hAnsi="Calibri"/>
                <w:b/>
                <w:color w:val="FFFFFF"/>
                <w:sz w:val="19"/>
              </w:rPr>
              <w:t>Expected behavior</w:t>
            </w:r>
          </w:p>
        </w:tc>
      </w:tr>
      <w:tr>
        <w:tc>
          <w:tcPr>
            <w:tcW w:type="dxa" w:w="1650"/>
            <w:vAlign w:val="center"/>
            <w:tcMar>
              <w:top w:w="90" w:type="dxa"/>
              <w:start w:w="120" w:type="dxa"/>
              <w:bottom w:w="90" w:type="dxa"/>
              <w:end w:w="120" w:type="dxa"/>
            </w:tcMar>
          </w:tcPr>
          <w:p>
            <w:pPr>
              <w:spacing w:after="0"/>
            </w:pPr>
            <w:r>
              <w:rPr>
                <w:rFonts w:ascii="Calibri" w:hAnsi="Calibri"/>
                <w:color w:val="1E293B"/>
                <w:sz w:val="19"/>
              </w:rPr>
              <w:t>1. Prepare</w:t>
            </w:r>
          </w:p>
        </w:tc>
        <w:tc>
          <w:tcPr>
            <w:tcW w:type="dxa" w:w="7710"/>
            <w:vAlign w:val="center"/>
            <w:tcMar>
              <w:top w:w="90" w:type="dxa"/>
              <w:start w:w="120" w:type="dxa"/>
              <w:bottom w:w="90" w:type="dxa"/>
              <w:end w:w="120" w:type="dxa"/>
            </w:tcMar>
          </w:tcPr>
          <w:p>
            <w:pPr>
              <w:spacing w:after="0"/>
            </w:pPr>
            <w:r>
              <w:rPr>
                <w:rFonts w:ascii="Calibri" w:hAnsi="Calibri"/>
                <w:color w:val="1E293B"/>
                <w:sz w:val="19"/>
              </w:rPr>
              <w:t>HR completes employee changes, salary revisions, joiners/leavers and one-time inputs.</w:t>
            </w:r>
          </w:p>
        </w:tc>
      </w:tr>
      <w:tr>
        <w:tc>
          <w:tcPr>
            <w:tcW w:type="dxa" w:w="1650"/>
            <w:shd w:fill="F3F6FA"/>
            <w:vAlign w:val="center"/>
            <w:tcMar>
              <w:top w:w="90" w:type="dxa"/>
              <w:start w:w="120" w:type="dxa"/>
              <w:bottom w:w="90" w:type="dxa"/>
              <w:end w:w="120" w:type="dxa"/>
            </w:tcMar>
          </w:tcPr>
          <w:p>
            <w:pPr>
              <w:spacing w:after="0"/>
            </w:pPr>
            <w:r>
              <w:rPr>
                <w:rFonts w:ascii="Calibri" w:hAnsi="Calibri"/>
                <w:color w:val="1E293B"/>
                <w:sz w:val="19"/>
              </w:rPr>
              <w:t>2. Finalize time</w:t>
            </w:r>
          </w:p>
        </w:tc>
        <w:tc>
          <w:tcPr>
            <w:tcW w:type="dxa" w:w="7710"/>
            <w:shd w:fill="F3F6FA"/>
            <w:vAlign w:val="center"/>
            <w:tcMar>
              <w:top w:w="90" w:type="dxa"/>
              <w:start w:w="120" w:type="dxa"/>
              <w:bottom w:w="90" w:type="dxa"/>
              <w:end w:w="120" w:type="dxa"/>
            </w:tcMar>
          </w:tcPr>
          <w:p>
            <w:pPr>
              <w:spacing w:after="0"/>
            </w:pPr>
            <w:r>
              <w:rPr>
                <w:rFonts w:ascii="Calibri" w:hAnsi="Calibri"/>
                <w:color w:val="1E293B"/>
                <w:sz w:val="19"/>
              </w:rPr>
              <w:t>Attendance/leave exceptions are resolved. A completed payroll input export/snapshot is generated and the attendance period is locked.</w:t>
            </w:r>
          </w:p>
        </w:tc>
      </w:tr>
      <w:tr>
        <w:tc>
          <w:tcPr>
            <w:tcW w:type="dxa" w:w="1650"/>
            <w:vAlign w:val="center"/>
            <w:tcMar>
              <w:top w:w="90" w:type="dxa"/>
              <w:start w:w="120" w:type="dxa"/>
              <w:bottom w:w="90" w:type="dxa"/>
              <w:end w:w="120" w:type="dxa"/>
            </w:tcMar>
          </w:tcPr>
          <w:p>
            <w:pPr>
              <w:spacing w:after="0"/>
            </w:pPr>
            <w:r>
              <w:rPr>
                <w:rFonts w:ascii="Calibri" w:hAnsi="Calibri"/>
                <w:color w:val="1E293B"/>
                <w:sz w:val="19"/>
              </w:rPr>
              <w:t>3. Create run</w:t>
            </w:r>
          </w:p>
        </w:tc>
        <w:tc>
          <w:tcPr>
            <w:tcW w:type="dxa" w:w="7710"/>
            <w:vAlign w:val="center"/>
            <w:tcMar>
              <w:top w:w="90" w:type="dxa"/>
              <w:start w:w="120" w:type="dxa"/>
              <w:bottom w:w="90" w:type="dxa"/>
              <w:end w:w="120" w:type="dxa"/>
            </w:tcMar>
          </w:tcPr>
          <w:p>
            <w:pPr>
              <w:spacing w:after="0"/>
            </w:pPr>
            <w:r>
              <w:rPr>
                <w:rFonts w:ascii="Calibri" w:hAnsi="Calibri"/>
                <w:color w:val="1E293B"/>
                <w:sz w:val="19"/>
              </w:rPr>
              <w:t>Payroll Admin selects pay group and period. The system imports the locked input snapshot and validates employees.</w:t>
            </w:r>
          </w:p>
        </w:tc>
      </w:tr>
      <w:tr>
        <w:tc>
          <w:tcPr>
            <w:tcW w:type="dxa" w:w="1650"/>
            <w:shd w:fill="F3F6FA"/>
            <w:vAlign w:val="center"/>
            <w:tcMar>
              <w:top w:w="90" w:type="dxa"/>
              <w:start w:w="120" w:type="dxa"/>
              <w:bottom w:w="90" w:type="dxa"/>
              <w:end w:w="120" w:type="dxa"/>
            </w:tcMar>
          </w:tcPr>
          <w:p>
            <w:pPr>
              <w:spacing w:after="0"/>
            </w:pPr>
            <w:r>
              <w:rPr>
                <w:rFonts w:ascii="Calibri" w:hAnsi="Calibri"/>
                <w:color w:val="1E293B"/>
                <w:sz w:val="19"/>
              </w:rPr>
              <w:t>4. Calculate</w:t>
            </w:r>
          </w:p>
        </w:tc>
        <w:tc>
          <w:tcPr>
            <w:tcW w:type="dxa" w:w="7710"/>
            <w:shd w:fill="F3F6FA"/>
            <w:vAlign w:val="center"/>
            <w:tcMar>
              <w:top w:w="90" w:type="dxa"/>
              <w:start w:w="120" w:type="dxa"/>
              <w:bottom w:w="90" w:type="dxa"/>
              <w:end w:w="120" w:type="dxa"/>
            </w:tcMar>
          </w:tcPr>
          <w:p>
            <w:pPr>
              <w:spacing w:after="0"/>
            </w:pPr>
            <w:r>
              <w:rPr>
                <w:rFonts w:ascii="Calibri" w:hAnsi="Calibri"/>
                <w:color w:val="1E293B"/>
                <w:sz w:val="19"/>
              </w:rPr>
              <w:t>The engine applies effective salary versions, proration, attendance results, recurring/one-time inputs and configured statutory rules.</w:t>
            </w:r>
          </w:p>
        </w:tc>
      </w:tr>
      <w:tr>
        <w:tc>
          <w:tcPr>
            <w:tcW w:type="dxa" w:w="1650"/>
            <w:vAlign w:val="center"/>
            <w:tcMar>
              <w:top w:w="90" w:type="dxa"/>
              <w:start w:w="120" w:type="dxa"/>
              <w:bottom w:w="90" w:type="dxa"/>
              <w:end w:w="120" w:type="dxa"/>
            </w:tcMar>
          </w:tcPr>
          <w:p>
            <w:pPr>
              <w:spacing w:after="0"/>
            </w:pPr>
            <w:r>
              <w:rPr>
                <w:rFonts w:ascii="Calibri" w:hAnsi="Calibri"/>
                <w:color w:val="1E293B"/>
                <w:sz w:val="19"/>
              </w:rPr>
              <w:t>5. Review</w:t>
            </w:r>
          </w:p>
        </w:tc>
        <w:tc>
          <w:tcPr>
            <w:tcW w:type="dxa" w:w="7710"/>
            <w:vAlign w:val="center"/>
            <w:tcMar>
              <w:top w:w="90" w:type="dxa"/>
              <w:start w:w="120" w:type="dxa"/>
              <w:bottom w:w="90" w:type="dxa"/>
              <w:end w:w="120" w:type="dxa"/>
            </w:tcMar>
          </w:tcPr>
          <w:p>
            <w:pPr>
              <w:spacing w:after="0"/>
            </w:pPr>
            <w:r>
              <w:rPr>
                <w:rFonts w:ascii="Calibri" w:hAnsi="Calibri"/>
                <w:color w:val="1E293B"/>
                <w:sz w:val="19"/>
              </w:rPr>
              <w:t>The UI highlights blockers, warnings, unusual changes and employee-level calculation breakdowns.</w:t>
            </w:r>
          </w:p>
        </w:tc>
      </w:tr>
      <w:tr>
        <w:tc>
          <w:tcPr>
            <w:tcW w:type="dxa" w:w="1650"/>
            <w:shd w:fill="F3F6FA"/>
            <w:vAlign w:val="center"/>
            <w:tcMar>
              <w:top w:w="90" w:type="dxa"/>
              <w:start w:w="120" w:type="dxa"/>
              <w:bottom w:w="90" w:type="dxa"/>
              <w:end w:w="120" w:type="dxa"/>
            </w:tcMar>
          </w:tcPr>
          <w:p>
            <w:pPr>
              <w:spacing w:after="0"/>
            </w:pPr>
            <w:r>
              <w:rPr>
                <w:rFonts w:ascii="Calibri" w:hAnsi="Calibri"/>
                <w:color w:val="1E293B"/>
                <w:sz w:val="19"/>
              </w:rPr>
              <w:t>6. Approve</w:t>
            </w:r>
          </w:p>
        </w:tc>
        <w:tc>
          <w:tcPr>
            <w:tcW w:type="dxa" w:w="7710"/>
            <w:shd w:fill="F3F6FA"/>
            <w:vAlign w:val="center"/>
            <w:tcMar>
              <w:top w:w="90" w:type="dxa"/>
              <w:start w:w="120" w:type="dxa"/>
              <w:bottom w:w="90" w:type="dxa"/>
              <w:end w:w="120" w:type="dxa"/>
            </w:tcMar>
          </w:tcPr>
          <w:p>
            <w:pPr>
              <w:spacing w:after="0"/>
            </w:pPr>
            <w:r>
              <w:rPr>
                <w:rFonts w:ascii="Calibri" w:hAnsi="Calibri"/>
                <w:color w:val="1E293B"/>
                <w:sz w:val="19"/>
              </w:rPr>
              <w:t>An authorized approver confirms the run. Recalculation or input changes are no longer allowed without reopening.</w:t>
            </w:r>
          </w:p>
        </w:tc>
      </w:tr>
      <w:tr>
        <w:tc>
          <w:tcPr>
            <w:tcW w:type="dxa" w:w="1650"/>
            <w:vAlign w:val="center"/>
            <w:tcMar>
              <w:top w:w="90" w:type="dxa"/>
              <w:start w:w="120" w:type="dxa"/>
              <w:bottom w:w="90" w:type="dxa"/>
              <w:end w:w="120" w:type="dxa"/>
            </w:tcMar>
          </w:tcPr>
          <w:p>
            <w:pPr>
              <w:spacing w:after="0"/>
            </w:pPr>
            <w:r>
              <w:rPr>
                <w:rFonts w:ascii="Calibri" w:hAnsi="Calibri"/>
                <w:color w:val="1E293B"/>
                <w:sz w:val="19"/>
              </w:rPr>
              <w:t>7. Finalize</w:t>
            </w:r>
          </w:p>
        </w:tc>
        <w:tc>
          <w:tcPr>
            <w:tcW w:type="dxa" w:w="7710"/>
            <w:vAlign w:val="center"/>
            <w:tcMar>
              <w:top w:w="90" w:type="dxa"/>
              <w:start w:w="120" w:type="dxa"/>
              <w:bottom w:w="90" w:type="dxa"/>
              <w:end w:w="120" w:type="dxa"/>
            </w:tcMar>
          </w:tcPr>
          <w:p>
            <w:pPr>
              <w:spacing w:after="0"/>
            </w:pPr>
            <w:r>
              <w:rPr>
                <w:rFonts w:ascii="Calibri" w:hAnsi="Calibri"/>
                <w:color w:val="1E293B"/>
                <w:sz w:val="19"/>
              </w:rPr>
              <w:t>The system freezes results, assigns payslip numbers, generates documents and writes immutable audit/outbox events.</w:t>
            </w:r>
          </w:p>
        </w:tc>
      </w:tr>
      <w:tr>
        <w:tc>
          <w:tcPr>
            <w:tcW w:type="dxa" w:w="1650"/>
            <w:shd w:fill="F3F6FA"/>
            <w:vAlign w:val="center"/>
            <w:tcMar>
              <w:top w:w="90" w:type="dxa"/>
              <w:start w:w="120" w:type="dxa"/>
              <w:bottom w:w="90" w:type="dxa"/>
              <w:end w:w="120" w:type="dxa"/>
            </w:tcMar>
          </w:tcPr>
          <w:p>
            <w:pPr>
              <w:spacing w:after="0"/>
            </w:pPr>
            <w:r>
              <w:rPr>
                <w:rFonts w:ascii="Calibri" w:hAnsi="Calibri"/>
                <w:color w:val="1E293B"/>
                <w:sz w:val="19"/>
              </w:rPr>
              <w:t>8. Pay</w:t>
            </w:r>
          </w:p>
        </w:tc>
        <w:tc>
          <w:tcPr>
            <w:tcW w:type="dxa" w:w="7710"/>
            <w:shd w:fill="F3F6FA"/>
            <w:vAlign w:val="center"/>
            <w:tcMar>
              <w:top w:w="90" w:type="dxa"/>
              <w:start w:w="120" w:type="dxa"/>
              <w:bottom w:w="90" w:type="dxa"/>
              <w:end w:w="120" w:type="dxa"/>
            </w:tcMar>
          </w:tcPr>
          <w:p>
            <w:pPr>
              <w:spacing w:after="0"/>
            </w:pPr>
            <w:r>
              <w:rPr>
                <w:rFonts w:ascii="Calibri" w:hAnsi="Calibri"/>
                <w:color w:val="1E293B"/>
                <w:sz w:val="19"/>
              </w:rPr>
              <w:t>Finance exports bank instructions, records payment status/reference and marks the run paid. Employees are notified when payslips are published.</w:t>
            </w:r>
          </w:p>
        </w:tc>
      </w:tr>
    </w:tbl>
    <w:p>
      <w:pPr>
        <w:spacing w:after="0"/>
      </w:pPr>
    </w:p>
    <w:p>
      <w:pPr>
        <w:pStyle w:val="Heading2"/>
        <w:keepNext/>
      </w:pPr>
      <w:r>
        <w:t>Run state model</w:t>
      </w:r>
    </w:p>
    <w:p>
      <w:r>
        <w:rPr>
          <w:rFonts w:ascii="Calibri" w:hAnsi="Calibri"/>
          <w:color w:val="1E293B"/>
        </w:rPr>
        <w:t>Use an explicit state machine: DRAFT -&gt; VALIDATING -&gt; CALCULATED -&gt; REVIEWED -&gt; APPROVED -&gt; FINALIZED -&gt; PAID. FAILED is retryable from validation/calculation. CANCELLED is allowed only before finalization. A finalized run cannot be edited; correction requires a controlled adjustment or off-cycle run.</w:t>
      </w:r>
    </w:p>
    <w:p>
      <w:r>
        <w:rPr>
          <w:rFonts w:ascii="Calibri" w:hAnsi="Calibri"/>
          <w:color w:val="1E293B"/>
        </w:rPr>
        <w:t>Reopening attendance after payroll calculation must invalidate the run's input status and block approval until a new snapshot is imported and the run recalculated. Reopening after payroll finalization must be an exceptional, separately authorized correction workflow and must not silently rewrite the finalized payroll.</w:t>
      </w:r>
    </w:p>
    <w:p>
      <w:pPr>
        <w:pStyle w:val="Heading2"/>
        <w:keepNext/>
      </w:pPr>
      <w:r>
        <w:t>Core calculation rules</w:t>
      </w:r>
    </w:p>
    <w:p>
      <w:pPr>
        <w:pStyle w:val="ListBullet"/>
      </w:pPr>
      <w:r>
        <w:rPr>
          <w:rFonts w:ascii="Calibri" w:hAnsi="Calibri"/>
          <w:color w:val="1E293B"/>
        </w:rPr>
        <w:t>All money is stored in integer minor units together with ISO currency; never use floating-point arithmetic.</w:t>
      </w:r>
    </w:p>
    <w:p>
      <w:pPr>
        <w:pStyle w:val="ListBullet"/>
      </w:pPr>
      <w:r>
        <w:rPr>
          <w:rFonts w:ascii="Calibri" w:hAnsi="Calibri"/>
          <w:color w:val="1E293B"/>
        </w:rPr>
        <w:t>OMR and other three-decimal currencies must remain accurate. Formatting comes from currency/locale metadata, never literal symbols.</w:t>
      </w:r>
    </w:p>
    <w:p>
      <w:pPr>
        <w:pStyle w:val="ListBullet"/>
      </w:pPr>
      <w:r>
        <w:rPr>
          <w:rFonts w:ascii="Calibri" w:hAnsi="Calibri"/>
          <w:color w:val="1E293B"/>
        </w:rPr>
        <w:t>Salary, component, tax and attendance-input versions are selected by effective date and copied into the run snapshot.</w:t>
      </w:r>
    </w:p>
    <w:p>
      <w:pPr>
        <w:pStyle w:val="ListBullet"/>
      </w:pPr>
      <w:r>
        <w:rPr>
          <w:rFonts w:ascii="Calibri" w:hAnsi="Calibri"/>
          <w:color w:val="1E293B"/>
        </w:rPr>
        <w:t>Proration policy is tenant-configurable (calendar days, working days or payable days) and must be visible in the calculation explanation.</w:t>
      </w:r>
    </w:p>
    <w:p>
      <w:pPr>
        <w:pStyle w:val="ListBullet"/>
      </w:pPr>
      <w:r>
        <w:rPr>
          <w:rFonts w:ascii="Calibri" w:hAnsi="Calibri"/>
          <w:color w:val="1E293B"/>
        </w:rPr>
        <w:t>Rounding is deterministic, configured per currency/component and reconciled so totals equal the sum of employee results.</w:t>
      </w:r>
    </w:p>
    <w:p>
      <w:pPr>
        <w:pStyle w:val="ListBullet"/>
      </w:pPr>
      <w:r>
        <w:rPr>
          <w:rFonts w:ascii="Calibri" w:hAnsi="Calibri"/>
          <w:color w:val="1E293B"/>
        </w:rPr>
        <w:t>Formulas run in a restricted expression engine with whitelisted variables/functions; never evaluate arbitrary JavaScript.</w:t>
      </w:r>
    </w:p>
    <w:p>
      <w:pPr>
        <w:pStyle w:val="ListBullet"/>
      </w:pPr>
      <w:r>
        <w:rPr>
          <w:rFonts w:ascii="Calibri" w:hAnsi="Calibri"/>
          <w:color w:val="1E293B"/>
        </w:rPr>
        <w:t>Every result exposes a human-readable calculation breakdown suitable for HR review and payslip explanation.</w:t>
      </w:r>
    </w:p>
    <w:p>
      <w:pPr>
        <w:pStyle w:val="Heading2"/>
        <w:keepNext/>
      </w:pPr>
      <w:r>
        <w:t>Statutory and regional behavior</w:t>
      </w:r>
    </w:p>
    <w:p>
      <w:r>
        <w:rPr>
          <w:rFonts w:ascii="Calibri" w:hAnsi="Calibri"/>
          <w:color w:val="1E293B"/>
        </w:rPr>
        <w:t>The engine must be region-aware but country rules must be adapters/configuration, not conditionals scattered across screens and services. Tenant billing/legal country selects the default payroll country and currency, while an explicit employee/pay-group country handles cross-border workforces. India and Oman should be supported as the initial configuration targets, but statutory rates, thresholds, filing formats and effective dates require separate validated rule packs.</w:t>
      </w:r>
    </w:p>
    <w:tbl>
      <w:tblPr>
        <w:tblW w:type="dxa" w:w="9360"/>
        <w:jc w:val="center"/>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trPr>
        <w:tc>
          <w:tcPr>
            <w:tcW w:type="dxa" w:w="9360"/>
            <w:vAlign w:val="center"/>
            <w:tcMar>
              <w:top w:w="90" w:type="dxa"/>
              <w:start w:w="120" w:type="dxa"/>
              <w:bottom w:w="90" w:type="dxa"/>
              <w:end w:w="120" w:type="dxa"/>
            </w:tcMar>
            <w:shd w:fill="FFF8E6"/>
          </w:tcPr>
          <w:p>
            <w:pPr>
              <w:spacing w:after="0"/>
            </w:pPr>
            <w:r>
              <w:rPr>
                <w:rFonts w:ascii="Calibri" w:hAnsi="Calibri"/>
                <w:b/>
                <w:color w:val="9A6700"/>
              </w:rPr>
              <w:t xml:space="preserve">LEGAL CONTROL  </w:t>
            </w:r>
            <w:r>
              <w:rPr>
                <w:rFonts w:ascii="Calibri" w:hAnsi="Calibri"/>
                <w:color w:val="1E293B"/>
              </w:rPr>
              <w:t>The developer implements the configurable engine and versioning. Product owners must supply or approve country-specific statutory specifications. Do not infer current legal rates from sample data.</w:t>
            </w:r>
          </w:p>
        </w:tc>
      </w:tr>
    </w:tbl>
    <w:p>
      <w:pPr>
        <w:spacing w:after="0"/>
      </w:pPr>
    </w:p>
    <w:p>
      <w:pPr>
        <w:pStyle w:val="Heading1"/>
        <w:keepNext/>
      </w:pPr>
      <w:r>
        <w:t>5. Screens and user experience</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2200"/>
        <w:gridCol w:w="7160"/>
      </w:tblGrid>
      <w:tr>
        <w:trPr>
          <w:tblHeader w:val="true"/>
        </w:trPr>
        <w:tc>
          <w:tcPr>
            <w:tcW w:type="dxa" w:w="2200"/>
            <w:vAlign w:val="center"/>
            <w:tcMar>
              <w:top w:w="90" w:type="dxa"/>
              <w:start w:w="120" w:type="dxa"/>
              <w:bottom w:w="90" w:type="dxa"/>
              <w:end w:w="120" w:type="dxa"/>
            </w:tcMar>
            <w:shd w:fill="0B1F3A"/>
          </w:tcPr>
          <w:p>
            <w:pPr>
              <w:spacing w:after="0"/>
            </w:pPr>
            <w:r>
              <w:rPr>
                <w:rFonts w:ascii="Calibri" w:hAnsi="Calibri"/>
                <w:b/>
                <w:color w:val="FFFFFF"/>
                <w:sz w:val="19"/>
              </w:rPr>
              <w:t>Area</w:t>
            </w:r>
          </w:p>
        </w:tc>
        <w:tc>
          <w:tcPr>
            <w:tcW w:type="dxa" w:w="7160"/>
            <w:vAlign w:val="center"/>
            <w:tcMar>
              <w:top w:w="90" w:type="dxa"/>
              <w:start w:w="120" w:type="dxa"/>
              <w:bottom w:w="90" w:type="dxa"/>
              <w:end w:w="120" w:type="dxa"/>
            </w:tcMar>
            <w:shd w:fill="0B1F3A"/>
          </w:tcPr>
          <w:p>
            <w:pPr>
              <w:spacing w:after="0"/>
            </w:pPr>
            <w:r>
              <w:rPr>
                <w:rFonts w:ascii="Calibri" w:hAnsi="Calibri"/>
                <w:b/>
                <w:color w:val="FFFFFF"/>
                <w:sz w:val="19"/>
              </w:rPr>
              <w:t>Minimum screen behavior</w:t>
            </w:r>
          </w:p>
        </w:tc>
      </w:tr>
      <w:tr>
        <w:tc>
          <w:tcPr>
            <w:tcW w:type="dxa" w:w="2200"/>
            <w:vAlign w:val="center"/>
            <w:tcMar>
              <w:top w:w="90" w:type="dxa"/>
              <w:start w:w="120" w:type="dxa"/>
              <w:bottom w:w="90" w:type="dxa"/>
              <w:end w:w="120" w:type="dxa"/>
            </w:tcMar>
          </w:tcPr>
          <w:p>
            <w:pPr>
              <w:spacing w:after="0"/>
            </w:pPr>
            <w:r>
              <w:rPr>
                <w:rFonts w:ascii="Calibri" w:hAnsi="Calibri"/>
                <w:color w:val="1E293B"/>
                <w:sz w:val="19"/>
              </w:rPr>
              <w:t>Payroll dashboard</w:t>
            </w:r>
          </w:p>
        </w:tc>
        <w:tc>
          <w:tcPr>
            <w:tcW w:type="dxa" w:w="7160"/>
            <w:vAlign w:val="center"/>
            <w:tcMar>
              <w:top w:w="90" w:type="dxa"/>
              <w:start w:w="120" w:type="dxa"/>
              <w:bottom w:w="90" w:type="dxa"/>
              <w:end w:w="120" w:type="dxa"/>
            </w:tcMar>
          </w:tcPr>
          <w:p>
            <w:pPr>
              <w:spacing w:after="0"/>
            </w:pPr>
            <w:r>
              <w:rPr>
                <w:rFonts w:ascii="Calibri" w:hAnsi="Calibri"/>
                <w:color w:val="1E293B"/>
                <w:sz w:val="19"/>
              </w:rPr>
              <w:t>Current period status, blockers, total gross/net/employer cost, pending approvals and recent runs.</w:t>
            </w:r>
          </w:p>
        </w:tc>
      </w:tr>
      <w:tr>
        <w:tc>
          <w:tcPr>
            <w:tcW w:type="dxa" w:w="2200"/>
            <w:shd w:fill="F3F6FA"/>
            <w:vAlign w:val="center"/>
            <w:tcMar>
              <w:top w:w="90" w:type="dxa"/>
              <w:start w:w="120" w:type="dxa"/>
              <w:bottom w:w="90" w:type="dxa"/>
              <w:end w:w="120" w:type="dxa"/>
            </w:tcMar>
          </w:tcPr>
          <w:p>
            <w:pPr>
              <w:spacing w:after="0"/>
            </w:pPr>
            <w:r>
              <w:rPr>
                <w:rFonts w:ascii="Calibri" w:hAnsi="Calibri"/>
                <w:color w:val="1E293B"/>
                <w:sz w:val="19"/>
              </w:rPr>
              <w:t>Payroll settings</w:t>
            </w:r>
          </w:p>
        </w:tc>
        <w:tc>
          <w:tcPr>
            <w:tcW w:type="dxa" w:w="7160"/>
            <w:shd w:fill="F3F6FA"/>
            <w:vAlign w:val="center"/>
            <w:tcMar>
              <w:top w:w="90" w:type="dxa"/>
              <w:start w:w="120" w:type="dxa"/>
              <w:bottom w:w="90" w:type="dxa"/>
              <w:end w:w="120" w:type="dxa"/>
            </w:tcMar>
          </w:tcPr>
          <w:p>
            <w:pPr>
              <w:spacing w:after="0"/>
            </w:pPr>
            <w:r>
              <w:rPr>
                <w:rFonts w:ascii="Calibri" w:hAnsi="Calibri"/>
                <w:color w:val="1E293B"/>
                <w:sz w:val="19"/>
              </w:rPr>
              <w:t>Calendar, pay groups, currencies, rounding, proration, approval policy and country rule pack.</w:t>
            </w:r>
          </w:p>
        </w:tc>
      </w:tr>
      <w:tr>
        <w:tc>
          <w:tcPr>
            <w:tcW w:type="dxa" w:w="2200"/>
            <w:vAlign w:val="center"/>
            <w:tcMar>
              <w:top w:w="90" w:type="dxa"/>
              <w:start w:w="120" w:type="dxa"/>
              <w:bottom w:w="90" w:type="dxa"/>
              <w:end w:w="120" w:type="dxa"/>
            </w:tcMar>
          </w:tcPr>
          <w:p>
            <w:pPr>
              <w:spacing w:after="0"/>
            </w:pPr>
            <w:r>
              <w:rPr>
                <w:rFonts w:ascii="Calibri" w:hAnsi="Calibri"/>
                <w:color w:val="1E293B"/>
                <w:sz w:val="19"/>
              </w:rPr>
              <w:t>Components &amp; structures</w:t>
            </w:r>
          </w:p>
        </w:tc>
        <w:tc>
          <w:tcPr>
            <w:tcW w:type="dxa" w:w="7160"/>
            <w:vAlign w:val="center"/>
            <w:tcMar>
              <w:top w:w="90" w:type="dxa"/>
              <w:start w:w="120" w:type="dxa"/>
              <w:bottom w:w="90" w:type="dxa"/>
              <w:end w:w="120" w:type="dxa"/>
            </w:tcMar>
          </w:tcPr>
          <w:p>
            <w:pPr>
              <w:spacing w:after="0"/>
            </w:pPr>
            <w:r>
              <w:rPr>
                <w:rFonts w:ascii="Calibri" w:hAnsi="Calibri"/>
                <w:color w:val="1E293B"/>
                <w:sz w:val="19"/>
              </w:rPr>
              <w:t>Create/version components and salary structures; show affected employees.</w:t>
            </w:r>
          </w:p>
        </w:tc>
      </w:tr>
      <w:tr>
        <w:tc>
          <w:tcPr>
            <w:tcW w:type="dxa" w:w="2200"/>
            <w:shd w:fill="F3F6FA"/>
            <w:vAlign w:val="center"/>
            <w:tcMar>
              <w:top w:w="90" w:type="dxa"/>
              <w:start w:w="120" w:type="dxa"/>
              <w:bottom w:w="90" w:type="dxa"/>
              <w:end w:w="120" w:type="dxa"/>
            </w:tcMar>
          </w:tcPr>
          <w:p>
            <w:pPr>
              <w:spacing w:after="0"/>
            </w:pPr>
            <w:r>
              <w:rPr>
                <w:rFonts w:ascii="Calibri" w:hAnsi="Calibri"/>
                <w:color w:val="1E293B"/>
                <w:sz w:val="19"/>
              </w:rPr>
              <w:t>Employee compensation</w:t>
            </w:r>
          </w:p>
        </w:tc>
        <w:tc>
          <w:tcPr>
            <w:tcW w:type="dxa" w:w="7160"/>
            <w:shd w:fill="F3F6FA"/>
            <w:vAlign w:val="center"/>
            <w:tcMar>
              <w:top w:w="90" w:type="dxa"/>
              <w:start w:w="120" w:type="dxa"/>
              <w:bottom w:w="90" w:type="dxa"/>
              <w:end w:w="120" w:type="dxa"/>
            </w:tcMar>
          </w:tcPr>
          <w:p>
            <w:pPr>
              <w:spacing w:after="0"/>
            </w:pPr>
            <w:r>
              <w:rPr>
                <w:rFonts w:ascii="Calibri" w:hAnsi="Calibri"/>
                <w:color w:val="1E293B"/>
                <w:sz w:val="19"/>
              </w:rPr>
              <w:t>Effective-dated salary, bank/statutory details, recurring inputs and payroll history.</w:t>
            </w:r>
          </w:p>
        </w:tc>
      </w:tr>
      <w:tr>
        <w:tc>
          <w:tcPr>
            <w:tcW w:type="dxa" w:w="2200"/>
            <w:vAlign w:val="center"/>
            <w:tcMar>
              <w:top w:w="90" w:type="dxa"/>
              <w:start w:w="120" w:type="dxa"/>
              <w:bottom w:w="90" w:type="dxa"/>
              <w:end w:w="120" w:type="dxa"/>
            </w:tcMar>
          </w:tcPr>
          <w:p>
            <w:pPr>
              <w:spacing w:after="0"/>
            </w:pPr>
            <w:r>
              <w:rPr>
                <w:rFonts w:ascii="Calibri" w:hAnsi="Calibri"/>
                <w:color w:val="1E293B"/>
                <w:sz w:val="19"/>
              </w:rPr>
              <w:t>Payroll run</w:t>
            </w:r>
          </w:p>
        </w:tc>
        <w:tc>
          <w:tcPr>
            <w:tcW w:type="dxa" w:w="7160"/>
            <w:vAlign w:val="center"/>
            <w:tcMar>
              <w:top w:w="90" w:type="dxa"/>
              <w:start w:w="120" w:type="dxa"/>
              <w:bottom w:w="90" w:type="dxa"/>
              <w:end w:w="120" w:type="dxa"/>
            </w:tcMar>
          </w:tcPr>
          <w:p>
            <w:pPr>
              <w:spacing w:after="0"/>
            </w:pPr>
            <w:r>
              <w:rPr>
                <w:rFonts w:ascii="Calibri" w:hAnsi="Calibri"/>
                <w:color w:val="1E293B"/>
                <w:sz w:val="19"/>
              </w:rPr>
              <w:t>Stage progress, validation summary, filters, variances, employee drill-down and authorized actions.</w:t>
            </w:r>
          </w:p>
        </w:tc>
      </w:tr>
      <w:tr>
        <w:tc>
          <w:tcPr>
            <w:tcW w:type="dxa" w:w="2200"/>
            <w:shd w:fill="F3F6FA"/>
            <w:vAlign w:val="center"/>
            <w:tcMar>
              <w:top w:w="90" w:type="dxa"/>
              <w:start w:w="120" w:type="dxa"/>
              <w:bottom w:w="90" w:type="dxa"/>
              <w:end w:w="120" w:type="dxa"/>
            </w:tcMar>
          </w:tcPr>
          <w:p>
            <w:pPr>
              <w:spacing w:after="0"/>
            </w:pPr>
            <w:r>
              <w:rPr>
                <w:rFonts w:ascii="Calibri" w:hAnsi="Calibri"/>
                <w:color w:val="1E293B"/>
                <w:sz w:val="19"/>
              </w:rPr>
              <w:t>Employee result</w:t>
            </w:r>
          </w:p>
        </w:tc>
        <w:tc>
          <w:tcPr>
            <w:tcW w:type="dxa" w:w="7160"/>
            <w:shd w:fill="F3F6FA"/>
            <w:vAlign w:val="center"/>
            <w:tcMar>
              <w:top w:w="90" w:type="dxa"/>
              <w:start w:w="120" w:type="dxa"/>
              <w:bottom w:w="90" w:type="dxa"/>
              <w:end w:w="120" w:type="dxa"/>
            </w:tcMar>
          </w:tcPr>
          <w:p>
            <w:pPr>
              <w:spacing w:after="0"/>
            </w:pPr>
            <w:r>
              <w:rPr>
                <w:rFonts w:ascii="Calibri" w:hAnsi="Calibri"/>
                <w:color w:val="1E293B"/>
                <w:sz w:val="19"/>
              </w:rPr>
              <w:t>Source inputs, formula breakdown, overrides, gross-to-net and previous-period comparison.</w:t>
            </w:r>
          </w:p>
        </w:tc>
      </w:tr>
      <w:tr>
        <w:tc>
          <w:tcPr>
            <w:tcW w:type="dxa" w:w="2200"/>
            <w:vAlign w:val="center"/>
            <w:tcMar>
              <w:top w:w="90" w:type="dxa"/>
              <w:start w:w="120" w:type="dxa"/>
              <w:bottom w:w="90" w:type="dxa"/>
              <w:end w:w="120" w:type="dxa"/>
            </w:tcMar>
          </w:tcPr>
          <w:p>
            <w:pPr>
              <w:spacing w:after="0"/>
            </w:pPr>
            <w:r>
              <w:rPr>
                <w:rFonts w:ascii="Calibri" w:hAnsi="Calibri"/>
                <w:color w:val="1E293B"/>
                <w:sz w:val="19"/>
              </w:rPr>
              <w:t>Payslips</w:t>
            </w:r>
          </w:p>
        </w:tc>
        <w:tc>
          <w:tcPr>
            <w:tcW w:type="dxa" w:w="7160"/>
            <w:vAlign w:val="center"/>
            <w:tcMar>
              <w:top w:w="90" w:type="dxa"/>
              <w:start w:w="120" w:type="dxa"/>
              <w:bottom w:w="90" w:type="dxa"/>
              <w:end w:w="120" w:type="dxa"/>
            </w:tcMar>
          </w:tcPr>
          <w:p>
            <w:pPr>
              <w:spacing w:after="0"/>
            </w:pPr>
            <w:r>
              <w:rPr>
                <w:rFonts w:ascii="Calibri" w:hAnsi="Calibri"/>
                <w:color w:val="1E293B"/>
                <w:sz w:val="19"/>
              </w:rPr>
              <w:t>Admin publish/download; employee self-service view/download only for own records.</w:t>
            </w:r>
          </w:p>
        </w:tc>
      </w:tr>
      <w:tr>
        <w:tc>
          <w:tcPr>
            <w:tcW w:type="dxa" w:w="2200"/>
            <w:shd w:fill="F3F6FA"/>
            <w:vAlign w:val="center"/>
            <w:tcMar>
              <w:top w:w="90" w:type="dxa"/>
              <w:start w:w="120" w:type="dxa"/>
              <w:bottom w:w="90" w:type="dxa"/>
              <w:end w:w="120" w:type="dxa"/>
            </w:tcMar>
          </w:tcPr>
          <w:p>
            <w:pPr>
              <w:spacing w:after="0"/>
            </w:pPr>
            <w:r>
              <w:rPr>
                <w:rFonts w:ascii="Calibri" w:hAnsi="Calibri"/>
                <w:color w:val="1E293B"/>
                <w:sz w:val="19"/>
              </w:rPr>
              <w:t>Reports &amp; exports</w:t>
            </w:r>
          </w:p>
        </w:tc>
        <w:tc>
          <w:tcPr>
            <w:tcW w:type="dxa" w:w="7160"/>
            <w:shd w:fill="F3F6FA"/>
            <w:vAlign w:val="center"/>
            <w:tcMar>
              <w:top w:w="90" w:type="dxa"/>
              <w:start w:w="120" w:type="dxa"/>
              <w:bottom w:w="90" w:type="dxa"/>
              <w:end w:w="120" w:type="dxa"/>
            </w:tcMar>
          </w:tcPr>
          <w:p>
            <w:pPr>
              <w:spacing w:after="0"/>
            </w:pPr>
            <w:r>
              <w:rPr>
                <w:rFonts w:ascii="Calibri" w:hAnsi="Calibri"/>
                <w:color w:val="1E293B"/>
                <w:sz w:val="19"/>
              </w:rPr>
              <w:t>Payroll register, bank/accounting exports, exceptions, audit and asynchronous downloads.</w:t>
            </w:r>
          </w:p>
        </w:tc>
      </w:tr>
    </w:tbl>
    <w:p>
      <w:pPr>
        <w:spacing w:after="0"/>
      </w:pPr>
    </w:p>
    <w:p>
      <w:r>
        <w:rPr>
          <w:rFonts w:ascii="Calibri" w:hAnsi="Calibri"/>
          <w:color w:val="1E293B"/>
        </w:rPr>
        <w:t>Follow the existing DeltCRM visual language and navigation. Payroll is a commercial product module gated by module entitlement. Empty states must guide setup, and destructive/final actions must use confirmation with a clear consequence. Large employee lists require server-side search, filters and pagination.</w:t>
      </w:r>
    </w:p>
    <w:p>
      <w:pPr>
        <w:pStyle w:val="Heading1"/>
        <w:keepNext/>
      </w:pPr>
      <w:r>
        <w:t>6. Roles, permissions and privacy</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2100"/>
        <w:gridCol w:w="7260"/>
      </w:tblGrid>
      <w:tr>
        <w:trPr>
          <w:tblHeader w:val="true"/>
        </w:trPr>
        <w:tc>
          <w:tcPr>
            <w:tcW w:type="dxa" w:w="2100"/>
            <w:vAlign w:val="center"/>
            <w:tcMar>
              <w:top w:w="90" w:type="dxa"/>
              <w:start w:w="120" w:type="dxa"/>
              <w:bottom w:w="90" w:type="dxa"/>
              <w:end w:w="120" w:type="dxa"/>
            </w:tcMar>
            <w:shd w:fill="0B1F3A"/>
          </w:tcPr>
          <w:p>
            <w:pPr>
              <w:spacing w:after="0"/>
            </w:pPr>
            <w:r>
              <w:rPr>
                <w:rFonts w:ascii="Calibri" w:hAnsi="Calibri"/>
                <w:b/>
                <w:color w:val="FFFFFF"/>
                <w:sz w:val="19"/>
              </w:rPr>
              <w:t>Role</w:t>
            </w:r>
          </w:p>
        </w:tc>
        <w:tc>
          <w:tcPr>
            <w:tcW w:type="dxa" w:w="7260"/>
            <w:vAlign w:val="center"/>
            <w:tcMar>
              <w:top w:w="90" w:type="dxa"/>
              <w:start w:w="120" w:type="dxa"/>
              <w:bottom w:w="90" w:type="dxa"/>
              <w:end w:w="120" w:type="dxa"/>
            </w:tcMar>
            <w:shd w:fill="0B1F3A"/>
          </w:tcPr>
          <w:p>
            <w:pPr>
              <w:spacing w:after="0"/>
            </w:pPr>
            <w:r>
              <w:rPr>
                <w:rFonts w:ascii="Calibri" w:hAnsi="Calibri"/>
                <w:b/>
                <w:color w:val="FFFFFF"/>
                <w:sz w:val="19"/>
              </w:rPr>
              <w:t>Default payroll access</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Business Admin</w:t>
            </w:r>
          </w:p>
        </w:tc>
        <w:tc>
          <w:tcPr>
            <w:tcW w:type="dxa" w:w="7260"/>
            <w:vAlign w:val="center"/>
            <w:tcMar>
              <w:top w:w="90" w:type="dxa"/>
              <w:start w:w="120" w:type="dxa"/>
              <w:bottom w:w="90" w:type="dxa"/>
              <w:end w:w="120" w:type="dxa"/>
            </w:tcMar>
          </w:tcPr>
          <w:p>
            <w:pPr>
              <w:spacing w:after="0"/>
            </w:pPr>
            <w:r>
              <w:rPr>
                <w:rFonts w:ascii="Calibri" w:hAnsi="Calibri"/>
                <w:color w:val="1E293B"/>
                <w:sz w:val="19"/>
              </w:rPr>
              <w:t>Full configuration, payroll processing, approval, finalization, sensitive reports and permission administration.</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HR Admin / Payroll Admin</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Employee payroll setup, inputs, calculation and reports. Final approval/payment depends on assigned permission.</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Manager</w:t>
            </w:r>
          </w:p>
        </w:tc>
        <w:tc>
          <w:tcPr>
            <w:tcW w:type="dxa" w:w="7260"/>
            <w:vAlign w:val="center"/>
            <w:tcMar>
              <w:top w:w="90" w:type="dxa"/>
              <w:start w:w="120" w:type="dxa"/>
              <w:bottom w:w="90" w:type="dxa"/>
              <w:end w:w="120" w:type="dxa"/>
            </w:tcMar>
          </w:tcPr>
          <w:p>
            <w:pPr>
              <w:spacing w:after="0"/>
            </w:pPr>
            <w:r>
              <w:rPr>
                <w:rFonts w:ascii="Calibri" w:hAnsi="Calibri"/>
                <w:color w:val="1E293B"/>
                <w:sz w:val="19"/>
              </w:rPr>
              <w:t>No salary access by default. Optional team-level input/approval only; never organization-wide compensation.</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Finance Approver</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Approved/finalized totals, bank/accounting exports and payment status; employee details only where explicitly granted.</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Employee</w:t>
            </w:r>
          </w:p>
        </w:tc>
        <w:tc>
          <w:tcPr>
            <w:tcW w:type="dxa" w:w="7260"/>
            <w:vAlign w:val="center"/>
            <w:tcMar>
              <w:top w:w="90" w:type="dxa"/>
              <w:start w:w="120" w:type="dxa"/>
              <w:bottom w:w="90" w:type="dxa"/>
              <w:end w:w="120" w:type="dxa"/>
            </w:tcMar>
          </w:tcPr>
          <w:p>
            <w:pPr>
              <w:spacing w:after="0"/>
            </w:pPr>
            <w:r>
              <w:rPr>
                <w:rFonts w:ascii="Calibri" w:hAnsi="Calibri"/>
                <w:color w:val="1E293B"/>
                <w:sz w:val="19"/>
              </w:rPr>
              <w:t>Own published payslips, annual/YTD summary and own payroll profile fields allowed for self-service.</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Platform Admin</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Operational support through audited impersonation; no routine visibility of plaintext bank/tax data.</w:t>
            </w:r>
          </w:p>
        </w:tc>
      </w:tr>
    </w:tbl>
    <w:p>
      <w:pPr>
        <w:spacing w:after="0"/>
      </w:pPr>
    </w:p>
    <w:p>
      <w:pPr>
        <w:pStyle w:val="Heading2"/>
        <w:keepNext/>
      </w:pPr>
      <w:r>
        <w:t>Permission groups to add</w:t>
      </w:r>
    </w:p>
    <w:p>
      <w:pPr>
        <w:pStyle w:val="ListBullet"/>
      </w:pPr>
      <w:r>
        <w:rPr>
          <w:rFonts w:ascii="Calibri" w:hAnsi="Calibri"/>
          <w:color w:val="1E293B"/>
        </w:rPr>
        <w:t>payroll.settings.read / payroll.settings.manage</w:t>
      </w:r>
    </w:p>
    <w:p>
      <w:pPr>
        <w:pStyle w:val="ListBullet"/>
      </w:pPr>
      <w:r>
        <w:rPr>
          <w:rFonts w:ascii="Calibri" w:hAnsi="Calibri"/>
          <w:color w:val="1E293B"/>
        </w:rPr>
        <w:t>payroll.compensation.read / payroll.compensation.manage</w:t>
      </w:r>
    </w:p>
    <w:p>
      <w:pPr>
        <w:pStyle w:val="ListBullet"/>
      </w:pPr>
      <w:r>
        <w:rPr>
          <w:rFonts w:ascii="Calibri" w:hAnsi="Calibri"/>
          <w:color w:val="1E293B"/>
        </w:rPr>
        <w:t>payroll.inputs.read / payroll.inputs.manage</w:t>
      </w:r>
    </w:p>
    <w:p>
      <w:pPr>
        <w:pStyle w:val="ListBullet"/>
      </w:pPr>
      <w:r>
        <w:rPr>
          <w:rFonts w:ascii="Calibri" w:hAnsi="Calibri"/>
          <w:color w:val="1E293B"/>
        </w:rPr>
        <w:t>payroll.runs.read / payroll.runs.calculate / payroll.runs.approve / payroll.runs.finalize</w:t>
      </w:r>
    </w:p>
    <w:p>
      <w:pPr>
        <w:pStyle w:val="ListBullet"/>
      </w:pPr>
      <w:r>
        <w:rPr>
          <w:rFonts w:ascii="Calibri" w:hAnsi="Calibri"/>
          <w:color w:val="1E293B"/>
        </w:rPr>
        <w:t>payroll.payments.read / payroll.payments.manage</w:t>
      </w:r>
    </w:p>
    <w:p>
      <w:pPr>
        <w:pStyle w:val="ListBullet"/>
      </w:pPr>
      <w:r>
        <w:rPr>
          <w:rFonts w:ascii="Calibri" w:hAnsi="Calibri"/>
          <w:color w:val="1E293B"/>
        </w:rPr>
        <w:t>payroll.payslips.self / payroll.payslips.read / payroll.payslips.publish</w:t>
      </w:r>
    </w:p>
    <w:p>
      <w:pPr>
        <w:pStyle w:val="ListBullet"/>
      </w:pPr>
      <w:r>
        <w:rPr>
          <w:rFonts w:ascii="Calibri" w:hAnsi="Calibri"/>
          <w:color w:val="1E293B"/>
        </w:rPr>
        <w:t>payroll.reports.generate / payroll.audit.read</w:t>
      </w:r>
    </w:p>
    <w:p>
      <w:pPr>
        <w:pStyle w:val="Heading2"/>
        <w:keepNext/>
      </w:pPr>
      <w:r>
        <w:t>Security requirements</w:t>
      </w:r>
    </w:p>
    <w:p>
      <w:pPr>
        <w:pStyle w:val="ListBullet"/>
      </w:pPr>
      <w:r>
        <w:rPr>
          <w:rFonts w:ascii="Calibri" w:hAnsi="Calibri"/>
          <w:color w:val="1E293B"/>
        </w:rPr>
        <w:t>Every table and query is tenant-scoped; add tenant-isolation and cross-tenant denial tests.</w:t>
      </w:r>
    </w:p>
    <w:p>
      <w:pPr>
        <w:pStyle w:val="ListBullet"/>
      </w:pPr>
      <w:r>
        <w:rPr>
          <w:rFonts w:ascii="Calibri" w:hAnsi="Calibri"/>
          <w:color w:val="1E293B"/>
        </w:rPr>
        <w:t>Encrypt bank account numbers, tax identifiers and sensitive compensation fields at rest; return masked values by default.</w:t>
      </w:r>
    </w:p>
    <w:p>
      <w:pPr>
        <w:pStyle w:val="ListBullet"/>
      </w:pPr>
      <w:r>
        <w:rPr>
          <w:rFonts w:ascii="Calibri" w:hAnsi="Calibri"/>
          <w:color w:val="1E293B"/>
        </w:rPr>
        <w:t>Never write salary, bank, tax, payslip or formula-input values to application logs.</w:t>
      </w:r>
    </w:p>
    <w:p>
      <w:pPr>
        <w:pStyle w:val="ListBullet"/>
      </w:pPr>
      <w:r>
        <w:rPr>
          <w:rFonts w:ascii="Calibri" w:hAnsi="Calibri"/>
          <w:color w:val="1E293B"/>
        </w:rPr>
        <w:t>Use private object storage with short-lived signed downloads for payslips and exports.</w:t>
      </w:r>
    </w:p>
    <w:p>
      <w:pPr>
        <w:pStyle w:val="ListBullet"/>
      </w:pPr>
      <w:r>
        <w:rPr>
          <w:rFonts w:ascii="Calibri" w:hAnsi="Calibri"/>
          <w:color w:val="1E293B"/>
        </w:rPr>
        <w:t>Audit configuration changes, salary revisions, imports, overrides, approvals, finalization, downloads and payment actions.</w:t>
      </w:r>
    </w:p>
    <w:p>
      <w:pPr>
        <w:pStyle w:val="ListBullet"/>
      </w:pPr>
      <w:r>
        <w:rPr>
          <w:rFonts w:ascii="Calibri" w:hAnsi="Calibri"/>
          <w:color w:val="1E293B"/>
        </w:rPr>
        <w:t>Use idempotency keys for run creation, imports, calculation jobs, finalization and payment status callbacks.</w:t>
      </w:r>
    </w:p>
    <w:p>
      <w:pPr>
        <w:pStyle w:val="ListBullet"/>
      </w:pPr>
      <w:r>
        <w:rPr>
          <w:rFonts w:ascii="Calibri" w:hAnsi="Calibri"/>
          <w:color w:val="1E293B"/>
        </w:rPr>
        <w:t>Apply retention policies without breaking statutory payroll history requirements configured for each region.</w:t>
      </w:r>
    </w:p>
    <w:p>
      <w:pPr>
        <w:pStyle w:val="Heading1"/>
        <w:keepNext/>
      </w:pPr>
      <w:r>
        <w:t>7. Technical implementation expectations</w:t>
      </w:r>
    </w:p>
    <w:p>
      <w:r>
        <w:rPr>
          <w:rFonts w:ascii="Calibri" w:hAnsi="Calibri"/>
          <w:color w:val="1E293B"/>
        </w:rPr>
        <w:t>Create Payroll as a new top-level product in the NestJS modular monolith, with its own composition root, public.ts contract, application/domain/infrastructure/presentation layers, architecture registration and table ownership. Other products may interact with Payroll only through stable public commands/readers/events.</w:t>
      </w:r>
    </w:p>
    <w:p>
      <w:pPr>
        <w:pStyle w:val="Heading2"/>
        <w:keepNext/>
      </w:pPr>
      <w:r>
        <w:t>Integration design</w:t>
      </w:r>
    </w:p>
    <w:p>
      <w:pPr>
        <w:pStyle w:val="ListBullet"/>
      </w:pPr>
      <w:r>
        <w:rPr>
          <w:rFonts w:ascii="Calibri" w:hAnsi="Calibri"/>
          <w:color w:val="1E293B"/>
        </w:rPr>
        <w:t>Organization public reader: employee identity, lifecycle and organizational placement.</w:t>
      </w:r>
    </w:p>
    <w:p>
      <w:pPr>
        <w:pStyle w:val="ListBullet"/>
      </w:pPr>
      <w:r>
        <w:rPr>
          <w:rFonts w:ascii="Calibri" w:hAnsi="Calibri"/>
          <w:color w:val="1E293B"/>
        </w:rPr>
        <w:t>Attendance public reader/event: finalized payroll input snapshot, checksum, source cutoff and lock status.</w:t>
      </w:r>
    </w:p>
    <w:p>
      <w:pPr>
        <w:pStyle w:val="ListBullet"/>
      </w:pPr>
      <w:r>
        <w:rPr>
          <w:rFonts w:ascii="Calibri" w:hAnsi="Calibri"/>
          <w:color w:val="1E293B"/>
        </w:rPr>
        <w:t>Workspace public reader: tenant country, currency, locale, timezone and module entitlement.</w:t>
      </w:r>
    </w:p>
    <w:p>
      <w:pPr>
        <w:pStyle w:val="ListBullet"/>
      </w:pPr>
      <w:r>
        <w:rPr>
          <w:rFonts w:ascii="Calibri" w:hAnsi="Calibri"/>
          <w:color w:val="1E293B"/>
        </w:rPr>
        <w:t>Notifications public command/event: payslip published, payroll approved and processing failure notifications.</w:t>
      </w:r>
    </w:p>
    <w:p>
      <w:pPr>
        <w:pStyle w:val="ListBullet"/>
      </w:pPr>
      <w:r>
        <w:rPr>
          <w:rFonts w:ascii="Calibri" w:hAnsi="Calibri"/>
          <w:color w:val="1E293B"/>
        </w:rPr>
        <w:t>Private storage port: payslip PDF, imports, bank files and reports.</w:t>
      </w:r>
    </w:p>
    <w:p>
      <w:pPr>
        <w:pStyle w:val="ListBullet"/>
      </w:pPr>
      <w:r>
        <w:rPr>
          <w:rFonts w:ascii="Calibri" w:hAnsi="Calibri"/>
          <w:color w:val="1E293B"/>
        </w:rPr>
        <w:t>Outbox events: PayrollRunCalculated, PayrollRunApproved, PayrollFinalized, PayslipsPublished and PayrollPaymentRecorded.</w:t>
      </w:r>
    </w:p>
    <w:p>
      <w:pPr>
        <w:pStyle w:val="Heading2"/>
        <w:keepNext/>
      </w:pPr>
      <w:r>
        <w:t>Core data groups</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2100"/>
        <w:gridCol w:w="7260"/>
      </w:tblGrid>
      <w:tr>
        <w:trPr>
          <w:tblHeader w:val="true"/>
        </w:trPr>
        <w:tc>
          <w:tcPr>
            <w:tcW w:type="dxa" w:w="2100"/>
            <w:vAlign w:val="center"/>
            <w:tcMar>
              <w:top w:w="90" w:type="dxa"/>
              <w:start w:w="120" w:type="dxa"/>
              <w:bottom w:w="90" w:type="dxa"/>
              <w:end w:w="120" w:type="dxa"/>
            </w:tcMar>
            <w:shd w:fill="0B1F3A"/>
          </w:tcPr>
          <w:p>
            <w:pPr>
              <w:spacing w:after="0"/>
            </w:pPr>
            <w:r>
              <w:rPr>
                <w:rFonts w:ascii="Calibri" w:hAnsi="Calibri"/>
                <w:b/>
                <w:color w:val="FFFFFF"/>
                <w:sz w:val="19"/>
              </w:rPr>
              <w:t>Data group</w:t>
            </w:r>
          </w:p>
        </w:tc>
        <w:tc>
          <w:tcPr>
            <w:tcW w:type="dxa" w:w="7260"/>
            <w:vAlign w:val="center"/>
            <w:tcMar>
              <w:top w:w="90" w:type="dxa"/>
              <w:start w:w="120" w:type="dxa"/>
              <w:bottom w:w="90" w:type="dxa"/>
              <w:end w:w="120" w:type="dxa"/>
            </w:tcMar>
            <w:shd w:fill="0B1F3A"/>
          </w:tcPr>
          <w:p>
            <w:pPr>
              <w:spacing w:after="0"/>
            </w:pPr>
            <w:r>
              <w:rPr>
                <w:rFonts w:ascii="Calibri" w:hAnsi="Calibri"/>
                <w:b/>
                <w:color w:val="FFFFFF"/>
                <w:sz w:val="19"/>
              </w:rPr>
              <w:t>Purpose</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Settings</w:t>
            </w:r>
          </w:p>
        </w:tc>
        <w:tc>
          <w:tcPr>
            <w:tcW w:type="dxa" w:w="7260"/>
            <w:vAlign w:val="center"/>
            <w:tcMar>
              <w:top w:w="90" w:type="dxa"/>
              <w:start w:w="120" w:type="dxa"/>
              <w:bottom w:w="90" w:type="dxa"/>
              <w:end w:w="120" w:type="dxa"/>
            </w:tcMar>
          </w:tcPr>
          <w:p>
            <w:pPr>
              <w:spacing w:after="0"/>
            </w:pPr>
            <w:r>
              <w:rPr>
                <w:rFonts w:ascii="Calibri" w:hAnsi="Calibri"/>
                <w:color w:val="1E293B"/>
                <w:sz w:val="19"/>
              </w:rPr>
              <w:t>Payroll settings, calendars, pay groups, approval policy, country rule-pack version.</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Definitions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Pay components, formulas, salary structures, structure versions and accounting mappings.</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Employee payroll</w:t>
            </w:r>
          </w:p>
        </w:tc>
        <w:tc>
          <w:tcPr>
            <w:tcW w:type="dxa" w:w="7260"/>
            <w:vAlign w:val="center"/>
            <w:tcMar>
              <w:top w:w="90" w:type="dxa"/>
              <w:start w:w="120" w:type="dxa"/>
              <w:bottom w:w="90" w:type="dxa"/>
              <w:end w:w="120" w:type="dxa"/>
            </w:tcMar>
          </w:tcPr>
          <w:p>
            <w:pPr>
              <w:spacing w:after="0"/>
            </w:pPr>
            <w:r>
              <w:rPr>
                <w:rFonts w:ascii="Calibri" w:hAnsi="Calibri"/>
                <w:color w:val="1E293B"/>
                <w:sz w:val="19"/>
              </w:rPr>
              <w:t>Payroll profile, compensation versions, protected payment/statutory details and recurring inputs.</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Run &amp; snapshot</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Run state, source attendance checksum, employee snapshot, calculation version and validations.</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Results</w:t>
            </w:r>
          </w:p>
        </w:tc>
        <w:tc>
          <w:tcPr>
            <w:tcW w:type="dxa" w:w="7260"/>
            <w:vAlign w:val="center"/>
            <w:tcMar>
              <w:top w:w="90" w:type="dxa"/>
              <w:start w:w="120" w:type="dxa"/>
              <w:bottom w:w="90" w:type="dxa"/>
              <w:end w:w="120" w:type="dxa"/>
            </w:tcMar>
          </w:tcPr>
          <w:p>
            <w:pPr>
              <w:spacing w:after="0"/>
            </w:pPr>
            <w:r>
              <w:rPr>
                <w:rFonts w:ascii="Calibri" w:hAnsi="Calibri"/>
                <w:color w:val="1E293B"/>
                <w:sz w:val="19"/>
              </w:rPr>
              <w:t>Employee/component results, totals, overrides, YTD balances and variance evidence.</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Outputs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Payslips, exports, payment batches/references and download metadata.</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Control</w:t>
            </w:r>
          </w:p>
        </w:tc>
        <w:tc>
          <w:tcPr>
            <w:tcW w:type="dxa" w:w="7260"/>
            <w:vAlign w:val="center"/>
            <w:tcMar>
              <w:top w:w="90" w:type="dxa"/>
              <w:start w:w="120" w:type="dxa"/>
              <w:bottom w:w="90" w:type="dxa"/>
              <w:end w:w="120" w:type="dxa"/>
            </w:tcMar>
          </w:tcPr>
          <w:p>
            <w:pPr>
              <w:spacing w:after="0"/>
            </w:pPr>
            <w:r>
              <w:rPr>
                <w:rFonts w:ascii="Calibri" w:hAnsi="Calibri"/>
                <w:color w:val="1E293B"/>
                <w:sz w:val="19"/>
              </w:rPr>
              <w:t>Approvals, state transitions, audit history, idempotency and job execution state.</w:t>
            </w:r>
          </w:p>
        </w:tc>
      </w:tr>
    </w:tbl>
    <w:p>
      <w:pPr>
        <w:spacing w:after="0"/>
      </w:pPr>
    </w:p>
    <w:p>
      <w:pPr>
        <w:pStyle w:val="Heading2"/>
        <w:keepNext/>
      </w:pPr>
      <w:r>
        <w:t>API and background processing</w:t>
      </w:r>
    </w:p>
    <w:p>
      <w:r>
        <w:rPr>
          <w:rFonts w:ascii="Calibri" w:hAnsi="Calibri"/>
          <w:color w:val="1E293B"/>
        </w:rPr>
        <w:t>Expose REST endpoints through NestJS controllers and regenerate the committed OpenAPI/TypeScript/Flutter contracts. Use background jobs for bulk import, calculation, PDF generation and large exports. APIs must return stable error codes and pagination metadata. Job endpoints must expose status, progress, validation counts and retry-safe failure details.</w:t>
      </w:r>
    </w:p>
    <w:p>
      <w:pPr>
        <w:pStyle w:val="Heading2"/>
        <w:keepNext/>
      </w:pPr>
      <w:r>
        <w:t>Performance and consistency</w:t>
      </w:r>
    </w:p>
    <w:p>
      <w:pPr>
        <w:pStyle w:val="ListBullet"/>
      </w:pPr>
      <w:r>
        <w:rPr>
          <w:rFonts w:ascii="Calibri" w:hAnsi="Calibri"/>
          <w:color w:val="1E293B"/>
        </w:rPr>
        <w:t>A payroll run must use database transactions for state transitions and immutable snapshots for calculation.</w:t>
      </w:r>
    </w:p>
    <w:p>
      <w:pPr>
        <w:pStyle w:val="ListBullet"/>
      </w:pPr>
      <w:r>
        <w:rPr>
          <w:rFonts w:ascii="Calibri" w:hAnsi="Calibri"/>
          <w:color w:val="1E293B"/>
        </w:rPr>
        <w:t>Calculation should be deterministic: identical snapshots and rule versions produce identical results/checksums.</w:t>
      </w:r>
    </w:p>
    <w:p>
      <w:pPr>
        <w:pStyle w:val="ListBullet"/>
      </w:pPr>
      <w:r>
        <w:rPr>
          <w:rFonts w:ascii="Calibri" w:hAnsi="Calibri"/>
          <w:color w:val="1E293B"/>
        </w:rPr>
        <w:t>Process employees in bounded batches and support safe worker retry without duplicate results or documents.</w:t>
      </w:r>
    </w:p>
    <w:p>
      <w:pPr>
        <w:pStyle w:val="ListBullet"/>
      </w:pPr>
      <w:r>
        <w:rPr>
          <w:rFonts w:ascii="Calibri" w:hAnsi="Calibri"/>
          <w:color w:val="1E293B"/>
        </w:rPr>
        <w:t>Provide optimistic/concurrency protection so two administrators cannot approve or finalize the same run concurrently.</w:t>
      </w:r>
    </w:p>
    <w:p>
      <w:pPr>
        <w:pStyle w:val="ListBullet"/>
      </w:pPr>
      <w:r>
        <w:rPr>
          <w:rFonts w:ascii="Calibri" w:hAnsi="Calibri"/>
          <w:color w:val="1E293B"/>
        </w:rPr>
        <w:t>Target normal UI responses below two seconds; long calculations return a job immediately and report progress.</w:t>
      </w:r>
    </w:p>
    <w:p>
      <w:pPr>
        <w:pStyle w:val="Heading1"/>
        <w:keepNext/>
      </w:pPr>
      <w:r>
        <w:t>8. Delivery sequence</w:t>
      </w:r>
    </w:p>
    <w:tbl>
      <w:tblPr>
        <w:tblW w:type="dxa" w:w="9360"/>
        <w:tblLayout w:type="fixed"/>
        <w:tblLook w:firstColumn="1" w:firstRow="1" w:lastColumn="0" w:lastRow="0" w:noHBand="0" w:noVBand="1" w:val="04A0"/>
        <w:jc w:val="center"/>
        <w:tblInd w:w="120" w:type="dxa"/>
        <w:tblBorders>
          <w:top w:val="single" w:sz="6" w:color="D7E0EA"/>
          <w:left w:val="single" w:sz="6" w:color="D7E0EA"/>
          <w:bottom w:val="single" w:sz="6" w:color="D7E0EA"/>
          <w:right w:val="single" w:sz="6" w:color="D7E0EA"/>
          <w:insideH w:val="single" w:sz="6" w:color="D7E0EA"/>
          <w:insideV w:val="single" w:sz="6" w:color="D7E0EA"/>
        </w:tblBorders>
      </w:tblPr>
      <w:tblGrid>
        <w:gridCol w:w="2100"/>
        <w:gridCol w:w="7260"/>
      </w:tblGrid>
      <w:tr>
        <w:trPr>
          <w:tblHeader w:val="true"/>
        </w:trPr>
        <w:tc>
          <w:tcPr>
            <w:tcW w:type="dxa" w:w="2100"/>
            <w:vAlign w:val="center"/>
            <w:tcMar>
              <w:top w:w="90" w:type="dxa"/>
              <w:start w:w="120" w:type="dxa"/>
              <w:bottom w:w="90" w:type="dxa"/>
              <w:end w:w="120" w:type="dxa"/>
            </w:tcMar>
            <w:shd w:fill="0B1F3A"/>
          </w:tcPr>
          <w:p>
            <w:pPr>
              <w:spacing w:after="0"/>
            </w:pPr>
            <w:r>
              <w:rPr>
                <w:rFonts w:ascii="Calibri" w:hAnsi="Calibri"/>
                <w:b/>
                <w:color w:val="FFFFFF"/>
                <w:sz w:val="19"/>
              </w:rPr>
              <w:t>Milestone</w:t>
            </w:r>
          </w:p>
        </w:tc>
        <w:tc>
          <w:tcPr>
            <w:tcW w:type="dxa" w:w="7260"/>
            <w:vAlign w:val="center"/>
            <w:tcMar>
              <w:top w:w="90" w:type="dxa"/>
              <w:start w:w="120" w:type="dxa"/>
              <w:bottom w:w="90" w:type="dxa"/>
              <w:end w:w="120" w:type="dxa"/>
            </w:tcMar>
            <w:shd w:fill="0B1F3A"/>
          </w:tcPr>
          <w:p>
            <w:pPr>
              <w:spacing w:after="0"/>
            </w:pPr>
            <w:r>
              <w:rPr>
                <w:rFonts w:ascii="Calibri" w:hAnsi="Calibri"/>
                <w:b/>
                <w:color w:val="FFFFFF"/>
                <w:sz w:val="19"/>
              </w:rPr>
              <w:t>Expected outcome</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Phase 1 - Foundation</w:t>
            </w:r>
          </w:p>
        </w:tc>
        <w:tc>
          <w:tcPr>
            <w:tcW w:type="dxa" w:w="7260"/>
            <w:vAlign w:val="center"/>
            <w:tcMar>
              <w:top w:w="90" w:type="dxa"/>
              <w:start w:w="120" w:type="dxa"/>
              <w:bottom w:w="90" w:type="dxa"/>
              <w:end w:w="120" w:type="dxa"/>
            </w:tcMar>
          </w:tcPr>
          <w:p>
            <w:pPr>
              <w:spacing w:after="0"/>
            </w:pPr>
            <w:r>
              <w:rPr>
                <w:rFonts w:ascii="Calibri" w:hAnsi="Calibri"/>
                <w:color w:val="1E293B"/>
                <w:sz w:val="19"/>
              </w:rPr>
              <w:t>Product boundary, permissions, settings, components, salary structures, employee payroll profile and protected data.</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Phase 2 - Inputs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Attendance snapshot contract, recurring/one-time inputs, bulk import, validation and payroll run state machine.</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Phase 3 - Engine</w:t>
            </w:r>
          </w:p>
        </w:tc>
        <w:tc>
          <w:tcPr>
            <w:tcW w:type="dxa" w:w="7260"/>
            <w:vAlign w:val="center"/>
            <w:tcMar>
              <w:top w:w="90" w:type="dxa"/>
              <w:start w:w="120" w:type="dxa"/>
              <w:bottom w:w="90" w:type="dxa"/>
              <w:end w:w="120" w:type="dxa"/>
            </w:tcMar>
          </w:tcPr>
          <w:p>
            <w:pPr>
              <w:spacing w:after="0"/>
            </w:pPr>
            <w:r>
              <w:rPr>
                <w:rFonts w:ascii="Calibri" w:hAnsi="Calibri"/>
                <w:color w:val="1E293B"/>
                <w:sz w:val="19"/>
              </w:rPr>
              <w:t>Versioned calculation, proration, rounding, gross-to-net breakdown, variances and approval workflow.</w:t>
            </w:r>
          </w:p>
        </w:tc>
      </w:tr>
      <w:tr>
        <w:tc>
          <w:tcPr>
            <w:tcW w:type="dxa" w:w="2100"/>
            <w:shd w:fill="F3F6FA"/>
            <w:vAlign w:val="center"/>
            <w:tcMar>
              <w:top w:w="90" w:type="dxa"/>
              <w:start w:w="120" w:type="dxa"/>
              <w:bottom w:w="90" w:type="dxa"/>
              <w:end w:w="120" w:type="dxa"/>
            </w:tcMar>
          </w:tcPr>
          <w:p>
            <w:pPr>
              <w:spacing w:after="0"/>
            </w:pPr>
            <w:r>
              <w:rPr>
                <w:rFonts w:ascii="Calibri" w:hAnsi="Calibri"/>
                <w:color w:val="1E293B"/>
                <w:sz w:val="19"/>
              </w:rPr>
              <w:t>Phase 4 - Outputs</w:t>
            </w:r>
          </w:p>
        </w:tc>
        <w:tc>
          <w:tcPr>
            <w:tcW w:type="dxa" w:w="7260"/>
            <w:shd w:fill="F3F6FA"/>
            <w:vAlign w:val="center"/>
            <w:tcMar>
              <w:top w:w="90" w:type="dxa"/>
              <w:start w:w="120" w:type="dxa"/>
              <w:bottom w:w="90" w:type="dxa"/>
              <w:end w:w="120" w:type="dxa"/>
            </w:tcMar>
          </w:tcPr>
          <w:p>
            <w:pPr>
              <w:spacing w:after="0"/>
            </w:pPr>
            <w:r>
              <w:rPr>
                <w:rFonts w:ascii="Calibri" w:hAnsi="Calibri"/>
                <w:color w:val="1E293B"/>
                <w:sz w:val="19"/>
              </w:rPr>
              <w:t>Payslips, employee self-service, payroll register, bank/accounting adapters and notifications.</w:t>
            </w:r>
          </w:p>
        </w:tc>
      </w:tr>
      <w:tr>
        <w:tc>
          <w:tcPr>
            <w:tcW w:type="dxa" w:w="2100"/>
            <w:vAlign w:val="center"/>
            <w:tcMar>
              <w:top w:w="90" w:type="dxa"/>
              <w:start w:w="120" w:type="dxa"/>
              <w:bottom w:w="90" w:type="dxa"/>
              <w:end w:w="120" w:type="dxa"/>
            </w:tcMar>
          </w:tcPr>
          <w:p>
            <w:pPr>
              <w:spacing w:after="0"/>
            </w:pPr>
            <w:r>
              <w:rPr>
                <w:rFonts w:ascii="Calibri" w:hAnsi="Calibri"/>
                <w:color w:val="1E293B"/>
                <w:sz w:val="19"/>
              </w:rPr>
              <w:t>Phase 5 - Hardening</w:t>
            </w:r>
          </w:p>
        </w:tc>
        <w:tc>
          <w:tcPr>
            <w:tcW w:type="dxa" w:w="7260"/>
            <w:vAlign w:val="center"/>
            <w:tcMar>
              <w:top w:w="90" w:type="dxa"/>
              <w:start w:w="120" w:type="dxa"/>
              <w:bottom w:w="90" w:type="dxa"/>
              <w:end w:w="120" w:type="dxa"/>
            </w:tcMar>
          </w:tcPr>
          <w:p>
            <w:pPr>
              <w:spacing w:after="0"/>
            </w:pPr>
            <w:r>
              <w:rPr>
                <w:rFonts w:ascii="Calibri" w:hAnsi="Calibri"/>
                <w:color w:val="1E293B"/>
                <w:sz w:val="19"/>
              </w:rPr>
              <w:t>Country rule packs, migrations, load/security/isolation tests, observability, audit and operational runbook.</w:t>
            </w:r>
          </w:p>
        </w:tc>
      </w:tr>
    </w:tbl>
    <w:p>
      <w:pPr>
        <w:spacing w:after="0"/>
      </w:pPr>
    </w:p>
    <w:p>
      <w:pPr>
        <w:pStyle w:val="Heading2"/>
        <w:keepNext/>
      </w:pPr>
      <w:r>
        <w:t>Not required in the first MVP</w:t>
      </w:r>
    </w:p>
    <w:p>
      <w:r>
        <w:rPr>
          <w:rFonts w:ascii="Calibri" w:hAnsi="Calibri"/>
          <w:color w:val="1E293B"/>
        </w:rPr>
        <w:t>Do not delay the core monthly payroll flow for advanced features. Loans/advances with amortization, expense reimbursement approval, benefits enrollment, workforce budgeting, automated government filing, direct bank transfer initiation, multi-entity consolidation, retroactive multi-period recalculation and complex off-cycle/final-settlement automation can follow after the core engine is stable. The MVP should leave extension points for them.</w:t>
      </w:r>
    </w:p>
    <w:p>
      <w:pPr>
        <w:pStyle w:val="Heading1"/>
        <w:keepNext/>
      </w:pPr>
      <w:r>
        <w:t>9. Definition of done</w:t>
      </w:r>
    </w:p>
    <w:p>
      <w:pPr>
        <w:pStyle w:val="ListBullet"/>
      </w:pPr>
      <w:r>
        <w:rPr>
          <w:rFonts w:ascii="Calibri" w:hAnsi="Calibri"/>
          <w:color w:val="1E293B"/>
        </w:rPr>
        <w:t>A tenant can configure a pay calendar, components, salary structure and employee compensation.</w:t>
      </w:r>
    </w:p>
    <w:p>
      <w:pPr>
        <w:pStyle w:val="ListBullet"/>
      </w:pPr>
      <w:r>
        <w:rPr>
          <w:rFonts w:ascii="Calibri" w:hAnsi="Calibri"/>
          <w:color w:val="1E293B"/>
        </w:rPr>
        <w:t>A payroll run imports only finalized, locked attendance input and detects stale/reopened input.</w:t>
      </w:r>
    </w:p>
    <w:p>
      <w:pPr>
        <w:pStyle w:val="ListBullet"/>
      </w:pPr>
      <w:r>
        <w:rPr>
          <w:rFonts w:ascii="Calibri" w:hAnsi="Calibri"/>
          <w:color w:val="1E293B"/>
        </w:rPr>
        <w:t>The engine correctly handles joiners, leavers, unpaid leave, overtime, one-time inputs and currency minor units.</w:t>
      </w:r>
    </w:p>
    <w:p>
      <w:pPr>
        <w:pStyle w:val="ListBullet"/>
      </w:pPr>
      <w:r>
        <w:rPr>
          <w:rFonts w:ascii="Calibri" w:hAnsi="Calibri"/>
          <w:color w:val="1E293B"/>
        </w:rPr>
        <w:t>Authorized users can calculate, review, approve, finalize and mark a run paid according to permissions.</w:t>
      </w:r>
    </w:p>
    <w:p>
      <w:pPr>
        <w:pStyle w:val="ListBullet"/>
      </w:pPr>
      <w:r>
        <w:rPr>
          <w:rFonts w:ascii="Calibri" w:hAnsi="Calibri"/>
          <w:color w:val="1E293B"/>
        </w:rPr>
        <w:t>Finalized payroll and payslips are immutable; corrections are traceable and never overwrite history.</w:t>
      </w:r>
    </w:p>
    <w:p>
      <w:pPr>
        <w:pStyle w:val="ListBullet"/>
      </w:pPr>
      <w:r>
        <w:rPr>
          <w:rFonts w:ascii="Calibri" w:hAnsi="Calibri"/>
          <w:color w:val="1E293B"/>
        </w:rPr>
        <w:t>Employees can access only their own published payslips.</w:t>
      </w:r>
    </w:p>
    <w:p>
      <w:pPr>
        <w:pStyle w:val="ListBullet"/>
      </w:pPr>
      <w:r>
        <w:rPr>
          <w:rFonts w:ascii="Calibri" w:hAnsi="Calibri"/>
          <w:color w:val="1E293B"/>
        </w:rPr>
        <w:t>Bank/accounting exports and payroll reports reconcile exactly with finalized employee results.</w:t>
      </w:r>
    </w:p>
    <w:p>
      <w:pPr>
        <w:pStyle w:val="ListBullet"/>
      </w:pPr>
      <w:r>
        <w:rPr>
          <w:rFonts w:ascii="Calibri" w:hAnsi="Calibri"/>
          <w:color w:val="1E293B"/>
        </w:rPr>
        <w:t>All sensitive actions are audited and protected data is masked/encrypted.</w:t>
      </w:r>
    </w:p>
    <w:p>
      <w:pPr>
        <w:pStyle w:val="ListBullet"/>
      </w:pPr>
      <w:r>
        <w:rPr>
          <w:rFonts w:ascii="Calibri" w:hAnsi="Calibri"/>
          <w:color w:val="1E293B"/>
        </w:rPr>
        <w:t>Unit, calculation-golden, API contract, e2e, tenant-isolation, authorization, concurrency and worker-retry tests pass.</w:t>
      </w:r>
    </w:p>
    <w:p>
      <w:pPr>
        <w:pStyle w:val="ListBullet"/>
      </w:pPr>
      <w:r>
        <w:rPr>
          <w:rFonts w:ascii="Calibri" w:hAnsi="Calibri"/>
          <w:color w:val="1E293B"/>
        </w:rPr>
        <w:t>Architecture checks, typecheck, lint, tests, production builds and OpenAPI generation pass.</w:t>
      </w:r>
    </w:p>
    <w:p>
      <w:pPr>
        <w:pStyle w:val="ListBullet"/>
      </w:pPr>
      <w:r>
        <w:rPr>
          <w:rFonts w:ascii="Calibri" w:hAnsi="Calibri"/>
          <w:color w:val="1E293B"/>
        </w:rPr>
        <w:t>The developer supplies migrations, seed/demo data, API documentation, setup notes, test evidence and a short operational runbook.</w:t>
      </w:r>
    </w:p>
    <w:p>
      <w:r>
        <w:br w:type="page"/>
      </w:r>
    </w:p>
    <w:p>
      <w:pPr>
        <w:pStyle w:val="Heading2"/>
        <w:keepNext/>
      </w:pPr>
      <w:r>
        <w:t>Developer handoff checklist</w:t>
      </w:r>
    </w:p>
    <w:p>
      <w:pPr>
        <w:pStyle w:val="ListNumber"/>
      </w:pPr>
      <w:r>
        <w:rPr>
          <w:rFonts w:ascii="Calibri" w:hAnsi="Calibri"/>
          <w:color w:val="1E293B"/>
        </w:rPr>
        <w:t>Review this brief with product owner and confirm the MVP boundary.</w:t>
      </w:r>
    </w:p>
    <w:p>
      <w:pPr>
        <w:pStyle w:val="ListNumber"/>
      </w:pPr>
      <w:r>
        <w:rPr>
          <w:rFonts w:ascii="Calibri" w:hAnsi="Calibri"/>
          <w:color w:val="1E293B"/>
        </w:rPr>
        <w:t>Write the payroll domain model and state-transition diagram before database implementation.</w:t>
      </w:r>
    </w:p>
    <w:p>
      <w:pPr>
        <w:pStyle w:val="ListNumber"/>
      </w:pPr>
      <w:r>
        <w:rPr>
          <w:rFonts w:ascii="Calibri" w:hAnsi="Calibri"/>
          <w:color w:val="1E293B"/>
        </w:rPr>
        <w:t>Confirm country rule specifications and sample expected calculations with payroll specialists.</w:t>
      </w:r>
    </w:p>
    <w:p>
      <w:pPr>
        <w:pStyle w:val="ListNumber"/>
      </w:pPr>
      <w:r>
        <w:rPr>
          <w:rFonts w:ascii="Calibri" w:hAnsi="Calibri"/>
          <w:color w:val="1E293B"/>
        </w:rPr>
        <w:t>Register the product boundary and table ownership before creating migrations.</w:t>
      </w:r>
    </w:p>
    <w:p>
      <w:pPr>
        <w:pStyle w:val="ListNumber"/>
      </w:pPr>
      <w:r>
        <w:rPr>
          <w:rFonts w:ascii="Calibri" w:hAnsi="Calibri"/>
          <w:color w:val="1E293B"/>
        </w:rPr>
        <w:t>Build one vertical slice first: salary -&gt; locked attendance -&gt; calculation -&gt; approval -&gt; payslip.</w:t>
      </w:r>
    </w:p>
    <w:p>
      <w:pPr>
        <w:pStyle w:val="ListNumber"/>
      </w:pPr>
      <w:r>
        <w:rPr>
          <w:rFonts w:ascii="Calibri" w:hAnsi="Calibri"/>
          <w:color w:val="1E293B"/>
        </w:rPr>
        <w:t>Use golden calculation fixtures covering INR (2 decimals) and OMR (3 decimals).</w:t>
      </w:r>
    </w:p>
    <w:p>
      <w:pPr>
        <w:pStyle w:val="ListNumber"/>
      </w:pPr>
      <w:r>
        <w:rPr>
          <w:rFonts w:ascii="Calibri" w:hAnsi="Calibri"/>
          <w:color w:val="1E293B"/>
        </w:rPr>
        <w:t>Demo the complete monthly workflow with at least a joiner, unpaid leave, overtime and a manual adjustment.</w:t>
      </w:r>
    </w:p>
    <w:tbl>
      <w:tblPr>
        <w:tblW w:type="dxa" w:w="9360"/>
        <w:jc w:val="center"/>
        <w:tblLayout w:type="fixed"/>
        <w:tblLook w:firstColumn="1" w:firstRow="1" w:lastColumn="0" w:lastRow="0" w:noHBand="0" w:noVBand="1" w:val="04A0"/>
        <w:tblInd w:w="120" w:type="dxa"/>
        <w:tblBorders>
          <w:top w:val="single" w:sz="4" w:color="EAF8F2"/>
          <w:left w:val="single" w:sz="4" w:color="EAF8F2"/>
          <w:bottom w:val="single" w:sz="4" w:color="EAF8F2"/>
          <w:right w:val="single" w:sz="4" w:color="EAF8F2"/>
          <w:insideH w:val="single" w:sz="4" w:color="EAF8F2"/>
          <w:insideV w:val="single" w:sz="4" w:color="EAF8F2"/>
        </w:tblBorders>
      </w:tblPr>
      <w:tblGrid>
        <w:gridCol w:w="9360"/>
      </w:tblGrid>
      <w:tr>
        <w:trPr>
          <w:tblHeader w:val="true"/>
        </w:trPr>
        <w:tc>
          <w:tcPr>
            <w:tcW w:type="dxa" w:w="9360"/>
            <w:vAlign w:val="center"/>
            <w:tcMar>
              <w:top w:w="90" w:type="dxa"/>
              <w:start w:w="120" w:type="dxa"/>
              <w:bottom w:w="90" w:type="dxa"/>
              <w:end w:w="120" w:type="dxa"/>
            </w:tcMar>
            <w:shd w:fill="EAF8F2"/>
          </w:tcPr>
          <w:p>
            <w:pPr>
              <w:spacing w:after="0"/>
            </w:pPr>
            <w:r>
              <w:rPr>
                <w:rFonts w:ascii="Calibri" w:hAnsi="Calibri"/>
                <w:b/>
                <w:color w:val="0B7A53"/>
              </w:rPr>
              <w:t xml:space="preserve">SUCCESS MEASURE  </w:t>
            </w:r>
            <w:r>
              <w:rPr>
                <w:rFonts w:ascii="Calibri" w:hAnsi="Calibri"/>
                <w:color w:val="1E293B"/>
              </w:rPr>
              <w:t>For a closed attendance period, HR should be able to produce a reviewed and approved payroll, publish reconciled payslips and generate payment outputs without maintaining a parallel payroll spreadsheet.</w:t>
            </w:r>
          </w:p>
        </w:tc>
      </w:tr>
    </w:tbl>
    <w:p>
      <w:pPr>
        <w:spacing w:after="0"/>
      </w:pP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DeltCRM  |  Payroll Module 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769F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DeltCRM Payroll Module - KT and Implementation Brief</dc:title>
  <dc:subject>Developer handoff for the DeltCRM payroll module</dc:subject>
  <dc:creator>DeltCRM Product Team</dc:creator>
  <cp:keywords>DeltCRM, payroll, KT, implementation brief</cp:keywords>
  <dc:description>generated by python-docx</dc:description>
  <cp:lastModifiedBy/>
  <cp:revision>1</cp:revision>
  <dcterms:created xsi:type="dcterms:W3CDTF">2013-12-23T23:15:00Z</dcterms:created>
  <dcterms:modified xsi:type="dcterms:W3CDTF">2013-12-23T23:15:00Z</dcterms:modified>
  <cp:category/>
</cp:coreProperties>
</file>