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1F6F78"/>
          <w:spacing w:val="60"/>
          <w:sz w:val="20"/>
          <w:szCs w:val="20"/>
        </w:rPr>
        <w:t xml:space="preserve">Y-POINT VENTURE CAPITAL FUND-I</w:t>
      </w:r>
    </w:p>
    <w:p>
      <w:pPr>
        <w:spacing w:after="120" w:before="240"/>
      </w:pPr>
      <w:r>
        <w:rPr>
          <w:rFonts w:ascii="Calibri" w:cs="Calibri" w:eastAsia="Calibri" w:hAnsi="Calibri"/>
          <w:b/>
          <w:bCs/>
          <w:color w:val="14304A"/>
          <w:sz w:val="56"/>
          <w:szCs w:val="56"/>
        </w:rPr>
        <w:t xml:space="preserve">Website Content</w:t>
      </w:r>
    </w:p>
    <w:p>
      <w:pPr>
        <w:spacing w:after="240"/>
      </w:pPr>
      <w:r>
        <w:rPr>
          <w:rFonts w:ascii="Calibri" w:cs="Calibri" w:eastAsia="Calibri" w:hAnsi="Calibri"/>
          <w:b/>
          <w:bCs/>
          <w:color w:val="14304A"/>
          <w:sz w:val="56"/>
          <w:szCs w:val="56"/>
        </w:rPr>
        <w:t xml:space="preserve">&amp; Build Roadmap</w:t>
      </w:r>
    </w:p>
    <w:p>
      <w:pPr>
        <w:pBdr>
          <w:bottom w:val="single" w:color="1F6F78" w:sz="14" w:space="8"/>
        </w:pBdr>
        <w:spacing w:after="360"/>
      </w:pPr>
      <w:r>
        <w:rPr>
          <w:sz w:val="2"/>
          <w:szCs w:val="2"/>
        </w:rPr>
        <w:t xml:space="preserve"/>
      </w:r>
    </w:p>
    <w:p>
      <w:pPr>
        <w:spacing w:after="140" w:line="290"/>
      </w:pPr>
      <w:r>
        <w:rPr>
          <w:rFonts w:ascii="Calibri" w:cs="Calibri" w:eastAsia="Calibri" w:hAnsi="Calibri"/>
          <w:b w:val="false"/>
          <w:bCs w:val="false"/>
          <w:i w:val="false"/>
          <w:iCs w:val="false"/>
          <w:color w:val="5A6472"/>
          <w:sz w:val="24"/>
          <w:szCs w:val="24"/>
        </w:rPr>
        <w:t xml:space="preserve">Site architecture, page-by-page copy, the LP-deck disclosure firewall, and a phased delivery plan for y-point.vc.</w:t>
      </w:r>
    </w:p>
    <w:p>
      <w:pPr>
        <w:spacing w:after="50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500"/>
        <w:gridCol w:w="6860"/>
      </w:tblGrid>
      <w:tr>
        <w:trPr>
          <w:tblHeader/>
        </w:trPr>
        <w:tc>
          <w:tcPr>
            <w:tcW w:type="dxa" w:w="2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Field</w:t>
            </w:r>
          </w:p>
        </w:tc>
        <w:tc>
          <w:tcPr>
            <w:tcW w:type="dxa" w:w="68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Detail</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Document</w:t>
            </w:r>
          </w:p>
        </w:tc>
        <w:tc>
          <w:tcPr>
            <w:tcW w:type="dxa" w:w="6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Website Content &amp; Build Roadmap — Version 2.0 (Draft for review)</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Prepared for</w:t>
            </w:r>
          </w:p>
        </w:tc>
        <w:tc>
          <w:tcPr>
            <w:tcW w:type="dxa" w:w="6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Investment Advisors Private Limited, Investment Manager to Y-Point Venture Capital Fund-I</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Date</w:t>
            </w:r>
          </w:p>
        </w:tc>
        <w:tc>
          <w:tcPr>
            <w:tcW w:type="dxa" w:w="6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28 September 2026</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Sources used</w:t>
            </w:r>
          </w:p>
        </w:tc>
        <w:tc>
          <w:tcPr>
            <w:tcW w:type="dxa" w:w="6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SEBI Certificate of Registration; Private Placement Memorandum (attested extract, July 2025); LP Deck (September 2026); public announcements. Figures reconciled to these documents and flagged where they conflict.</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Status</w:t>
            </w:r>
          </w:p>
        </w:tc>
        <w:tc>
          <w:tcPr>
            <w:tcW w:type="dxa" w:w="6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 for internal discussion. Not for publication. All public-facing copy requires legal sign-off before release.</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Reference model</w:t>
            </w:r>
          </w:p>
        </w:tc>
        <w:tc>
          <w:tcPr>
            <w:tcW w:type="dxa" w:w="6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a16z.com — architecture reviewed and selectively adapted, not copied</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Contents</w:t>
      </w:r>
    </w:p>
    <w:p>
      <w:pPr>
        <w:spacing w:after="90"/>
      </w:pPr>
      <w:r>
        <w:rPr>
          <w:rFonts w:ascii="Calibri" w:cs="Calibri" w:eastAsia="Calibri" w:hAnsi="Calibri"/>
          <w:b/>
          <w:bCs/>
          <w:color w:val="1F6F78"/>
          <w:sz w:val="21"/>
          <w:szCs w:val="21"/>
        </w:rPr>
        <w:t xml:space="preserve">1   </w:t>
      </w:r>
      <w:r>
        <w:rPr>
          <w:rFonts w:ascii="Calibri" w:cs="Calibri" w:eastAsia="Calibri" w:hAnsi="Calibri"/>
          <w:color w:val="23282D"/>
          <w:sz w:val="21"/>
          <w:szCs w:val="21"/>
        </w:rPr>
        <w:t xml:space="preserve">How to use this document</w:t>
      </w:r>
    </w:p>
    <w:p>
      <w:pPr>
        <w:spacing w:after="90"/>
      </w:pPr>
      <w:r>
        <w:rPr>
          <w:rFonts w:ascii="Calibri" w:cs="Calibri" w:eastAsia="Calibri" w:hAnsi="Calibri"/>
          <w:b/>
          <w:bCs/>
          <w:color w:val="1F6F78"/>
          <w:sz w:val="21"/>
          <w:szCs w:val="21"/>
        </w:rPr>
        <w:t xml:space="preserve">2   </w:t>
      </w:r>
      <w:r>
        <w:rPr>
          <w:rFonts w:ascii="Calibri" w:cs="Calibri" w:eastAsia="Calibri" w:hAnsi="Calibri"/>
          <w:color w:val="23282D"/>
          <w:sz w:val="21"/>
          <w:szCs w:val="21"/>
        </w:rPr>
        <w:t xml:space="preserve">What changed in Version 2.0 — verified fund facts</w:t>
      </w:r>
    </w:p>
    <w:p>
      <w:pPr>
        <w:spacing w:after="90"/>
      </w:pPr>
      <w:r>
        <w:rPr>
          <w:rFonts w:ascii="Calibri" w:cs="Calibri" w:eastAsia="Calibri" w:hAnsi="Calibri"/>
          <w:b/>
          <w:bCs/>
          <w:color w:val="1F6F78"/>
          <w:sz w:val="21"/>
          <w:szCs w:val="21"/>
        </w:rPr>
        <w:t xml:space="preserve">3   </w:t>
      </w:r>
      <w:r>
        <w:rPr>
          <w:rFonts w:ascii="Calibri" w:cs="Calibri" w:eastAsia="Calibri" w:hAnsi="Calibri"/>
          <w:color w:val="23282D"/>
          <w:sz w:val="21"/>
          <w:szCs w:val="21"/>
        </w:rPr>
        <w:t xml:space="preserve">Strategic foundation</w:t>
      </w:r>
    </w:p>
    <w:p>
      <w:pPr>
        <w:spacing w:after="90"/>
      </w:pPr>
      <w:r>
        <w:rPr>
          <w:rFonts w:ascii="Calibri" w:cs="Calibri" w:eastAsia="Calibri" w:hAnsi="Calibri"/>
          <w:b/>
          <w:bCs/>
          <w:color w:val="1F6F78"/>
          <w:sz w:val="21"/>
          <w:szCs w:val="21"/>
        </w:rPr>
        <w:t xml:space="preserve">4   </w:t>
      </w:r>
      <w:r>
        <w:rPr>
          <w:rFonts w:ascii="Calibri" w:cs="Calibri" w:eastAsia="Calibri" w:hAnsi="Calibri"/>
          <w:color w:val="23282D"/>
          <w:sz w:val="21"/>
          <w:szCs w:val="21"/>
        </w:rPr>
        <w:t xml:space="preserve">The disclosure firewall — LP deck to public website</w:t>
      </w:r>
    </w:p>
    <w:p>
      <w:pPr>
        <w:spacing w:after="90"/>
      </w:pPr>
      <w:r>
        <w:rPr>
          <w:rFonts w:ascii="Calibri" w:cs="Calibri" w:eastAsia="Calibri" w:hAnsi="Calibri"/>
          <w:b/>
          <w:bCs/>
          <w:color w:val="1F6F78"/>
          <w:sz w:val="21"/>
          <w:szCs w:val="21"/>
        </w:rPr>
        <w:t xml:space="preserve">5   </w:t>
      </w:r>
      <w:r>
        <w:rPr>
          <w:rFonts w:ascii="Calibri" w:cs="Calibri" w:eastAsia="Calibri" w:hAnsi="Calibri"/>
          <w:color w:val="23282D"/>
          <w:sz w:val="21"/>
          <w:szCs w:val="21"/>
        </w:rPr>
        <w:t xml:space="preserve">Sitemap and navigation</w:t>
      </w:r>
    </w:p>
    <w:p>
      <w:pPr>
        <w:spacing w:after="90"/>
      </w:pPr>
      <w:r>
        <w:rPr>
          <w:rFonts w:ascii="Calibri" w:cs="Calibri" w:eastAsia="Calibri" w:hAnsi="Calibri"/>
          <w:b/>
          <w:bCs/>
          <w:color w:val="1F6F78"/>
          <w:sz w:val="21"/>
          <w:szCs w:val="21"/>
        </w:rPr>
        <w:t xml:space="preserve">6   </w:t>
      </w:r>
      <w:r>
        <w:rPr>
          <w:rFonts w:ascii="Calibri" w:cs="Calibri" w:eastAsia="Calibri" w:hAnsi="Calibri"/>
          <w:color w:val="23282D"/>
          <w:sz w:val="21"/>
          <w:szCs w:val="21"/>
        </w:rPr>
        <w:t xml:space="preserve">Global elements — nav, footer, disclosures, metadata</w:t>
      </w:r>
    </w:p>
    <w:p>
      <w:pPr>
        <w:spacing w:after="90"/>
      </w:pPr>
      <w:r>
        <w:rPr>
          <w:rFonts w:ascii="Calibri" w:cs="Calibri" w:eastAsia="Calibri" w:hAnsi="Calibri"/>
          <w:b/>
          <w:bCs/>
          <w:color w:val="1F6F78"/>
          <w:sz w:val="21"/>
          <w:szCs w:val="21"/>
        </w:rPr>
        <w:t xml:space="preserve">7   </w:t>
      </w:r>
      <w:r>
        <w:rPr>
          <w:rFonts w:ascii="Calibri" w:cs="Calibri" w:eastAsia="Calibri" w:hAnsi="Calibri"/>
          <w:color w:val="23282D"/>
          <w:sz w:val="21"/>
          <w:szCs w:val="21"/>
        </w:rPr>
        <w:t xml:space="preserve">Homepage — full copy</w:t>
      </w:r>
    </w:p>
    <w:p>
      <w:pPr>
        <w:spacing w:after="90"/>
      </w:pPr>
      <w:r>
        <w:rPr>
          <w:rFonts w:ascii="Calibri" w:cs="Calibri" w:eastAsia="Calibri" w:hAnsi="Calibri"/>
          <w:b/>
          <w:bCs/>
          <w:color w:val="1F6F78"/>
          <w:sz w:val="21"/>
          <w:szCs w:val="21"/>
        </w:rPr>
        <w:t xml:space="preserve">8   </w:t>
      </w:r>
      <w:r>
        <w:rPr>
          <w:rFonts w:ascii="Calibri" w:cs="Calibri" w:eastAsia="Calibri" w:hAnsi="Calibri"/>
          <w:color w:val="23282D"/>
          <w:sz w:val="21"/>
          <w:szCs w:val="21"/>
        </w:rPr>
        <w:t xml:space="preserve">Focus Areas — hub page</w:t>
      </w:r>
    </w:p>
    <w:p>
      <w:pPr>
        <w:spacing w:after="90"/>
      </w:pPr>
      <w:r>
        <w:rPr>
          <w:rFonts w:ascii="Calibri" w:cs="Calibri" w:eastAsia="Calibri" w:hAnsi="Calibri"/>
          <w:b/>
          <w:bCs/>
          <w:color w:val="1F6F78"/>
          <w:sz w:val="21"/>
          <w:szCs w:val="21"/>
        </w:rPr>
        <w:t xml:space="preserve">9   </w:t>
      </w:r>
      <w:r>
        <w:rPr>
          <w:rFonts w:ascii="Calibri" w:cs="Calibri" w:eastAsia="Calibri" w:hAnsi="Calibri"/>
          <w:color w:val="23282D"/>
          <w:sz w:val="21"/>
          <w:szCs w:val="21"/>
        </w:rPr>
        <w:t xml:space="preserve">Focus Areas — the six vertical pages</w:t>
      </w:r>
    </w:p>
    <w:p>
      <w:pPr>
        <w:spacing w:after="90"/>
      </w:pPr>
      <w:r>
        <w:rPr>
          <w:rFonts w:ascii="Calibri" w:cs="Calibri" w:eastAsia="Calibri" w:hAnsi="Calibri"/>
          <w:b/>
          <w:bCs/>
          <w:color w:val="1F6F78"/>
          <w:sz w:val="21"/>
          <w:szCs w:val="21"/>
        </w:rPr>
        <w:t xml:space="preserve">10  </w:t>
      </w:r>
      <w:r>
        <w:rPr>
          <w:rFonts w:ascii="Calibri" w:cs="Calibri" w:eastAsia="Calibri" w:hAnsi="Calibri"/>
          <w:color w:val="23282D"/>
          <w:sz w:val="21"/>
          <w:szCs w:val="21"/>
        </w:rPr>
        <w:t xml:space="preserve">Platform — The Y-Point Edge</w:t>
      </w:r>
    </w:p>
    <w:p>
      <w:pPr>
        <w:spacing w:after="90"/>
      </w:pPr>
      <w:r>
        <w:rPr>
          <w:rFonts w:ascii="Calibri" w:cs="Calibri" w:eastAsia="Calibri" w:hAnsi="Calibri"/>
          <w:b/>
          <w:bCs/>
          <w:color w:val="1F6F78"/>
          <w:sz w:val="21"/>
          <w:szCs w:val="21"/>
        </w:rPr>
        <w:t xml:space="preserve">11  </w:t>
      </w:r>
      <w:r>
        <w:rPr>
          <w:rFonts w:ascii="Calibri" w:cs="Calibri" w:eastAsia="Calibri" w:hAnsi="Calibri"/>
          <w:color w:val="23282D"/>
          <w:sz w:val="21"/>
          <w:szCs w:val="21"/>
        </w:rPr>
        <w:t xml:space="preserve">Lab to Market</w:t>
      </w:r>
    </w:p>
    <w:p>
      <w:pPr>
        <w:spacing w:after="90"/>
      </w:pPr>
      <w:r>
        <w:rPr>
          <w:rFonts w:ascii="Calibri" w:cs="Calibri" w:eastAsia="Calibri" w:hAnsi="Calibri"/>
          <w:b/>
          <w:bCs/>
          <w:color w:val="1F6F78"/>
          <w:sz w:val="21"/>
          <w:szCs w:val="21"/>
        </w:rPr>
        <w:t xml:space="preserve">12  </w:t>
      </w:r>
      <w:r>
        <w:rPr>
          <w:rFonts w:ascii="Calibri" w:cs="Calibri" w:eastAsia="Calibri" w:hAnsi="Calibri"/>
          <w:color w:val="23282D"/>
          <w:sz w:val="21"/>
          <w:szCs w:val="21"/>
        </w:rPr>
        <w:t xml:space="preserve">Portfolio</w:t>
      </w:r>
    </w:p>
    <w:p>
      <w:pPr>
        <w:spacing w:after="90"/>
      </w:pPr>
      <w:r>
        <w:rPr>
          <w:rFonts w:ascii="Calibri" w:cs="Calibri" w:eastAsia="Calibri" w:hAnsi="Calibri"/>
          <w:b/>
          <w:bCs/>
          <w:color w:val="1F6F78"/>
          <w:sz w:val="21"/>
          <w:szCs w:val="21"/>
        </w:rPr>
        <w:t xml:space="preserve">13  </w:t>
      </w:r>
      <w:r>
        <w:rPr>
          <w:rFonts w:ascii="Calibri" w:cs="Calibri" w:eastAsia="Calibri" w:hAnsi="Calibri"/>
          <w:color w:val="23282D"/>
          <w:sz w:val="21"/>
          <w:szCs w:val="21"/>
        </w:rPr>
        <w:t xml:space="preserve">Insights and the Deep Tech Founder's Handbook</w:t>
      </w:r>
    </w:p>
    <w:p>
      <w:pPr>
        <w:spacing w:after="90"/>
      </w:pPr>
      <w:r>
        <w:rPr>
          <w:rFonts w:ascii="Calibri" w:cs="Calibri" w:eastAsia="Calibri" w:hAnsi="Calibri"/>
          <w:b/>
          <w:bCs/>
          <w:color w:val="1F6F78"/>
          <w:sz w:val="21"/>
          <w:szCs w:val="21"/>
        </w:rPr>
        <w:t xml:space="preserve">14  </w:t>
      </w:r>
      <w:r>
        <w:rPr>
          <w:rFonts w:ascii="Calibri" w:cs="Calibri" w:eastAsia="Calibri" w:hAnsi="Calibri"/>
          <w:color w:val="23282D"/>
          <w:sz w:val="21"/>
          <w:szCs w:val="21"/>
        </w:rPr>
        <w:t xml:space="preserve">About — The Fund, Team, Governance</w:t>
      </w:r>
    </w:p>
    <w:p>
      <w:pPr>
        <w:spacing w:after="90"/>
      </w:pPr>
      <w:r>
        <w:rPr>
          <w:rFonts w:ascii="Calibri" w:cs="Calibri" w:eastAsia="Calibri" w:hAnsi="Calibri"/>
          <w:b/>
          <w:bCs/>
          <w:color w:val="1F6F78"/>
          <w:sz w:val="21"/>
          <w:szCs w:val="21"/>
        </w:rPr>
        <w:t xml:space="preserve">15  </w:t>
      </w:r>
      <w:r>
        <w:rPr>
          <w:rFonts w:ascii="Calibri" w:cs="Calibri" w:eastAsia="Calibri" w:hAnsi="Calibri"/>
          <w:color w:val="23282D"/>
          <w:sz w:val="21"/>
          <w:szCs w:val="21"/>
        </w:rPr>
        <w:t xml:space="preserve">Apply — For Founders</w:t>
      </w:r>
    </w:p>
    <w:p>
      <w:pPr>
        <w:spacing w:after="90"/>
      </w:pPr>
      <w:r>
        <w:rPr>
          <w:rFonts w:ascii="Calibri" w:cs="Calibri" w:eastAsia="Calibri" w:hAnsi="Calibri"/>
          <w:b/>
          <w:bCs/>
          <w:color w:val="1F6F78"/>
          <w:sz w:val="21"/>
          <w:szCs w:val="21"/>
        </w:rPr>
        <w:t xml:space="preserve">16  </w:t>
      </w:r>
      <w:r>
        <w:rPr>
          <w:rFonts w:ascii="Calibri" w:cs="Calibri" w:eastAsia="Calibri" w:hAnsi="Calibri"/>
          <w:color w:val="23282D"/>
          <w:sz w:val="21"/>
          <w:szCs w:val="21"/>
        </w:rPr>
        <w:t xml:space="preserve">LP and Institutional</w:t>
      </w:r>
    </w:p>
    <w:p>
      <w:pPr>
        <w:spacing w:after="90"/>
      </w:pPr>
      <w:r>
        <w:rPr>
          <w:rFonts w:ascii="Calibri" w:cs="Calibri" w:eastAsia="Calibri" w:hAnsi="Calibri"/>
          <w:b/>
          <w:bCs/>
          <w:color w:val="1F6F78"/>
          <w:sz w:val="21"/>
          <w:szCs w:val="21"/>
        </w:rPr>
        <w:t xml:space="preserve">17  </w:t>
      </w:r>
      <w:r>
        <w:rPr>
          <w:rFonts w:ascii="Calibri" w:cs="Calibri" w:eastAsia="Calibri" w:hAnsi="Calibri"/>
          <w:color w:val="23282D"/>
          <w:sz w:val="21"/>
          <w:szCs w:val="21"/>
        </w:rPr>
        <w:t xml:space="preserve">Contact and Careers</w:t>
      </w:r>
    </w:p>
    <w:p>
      <w:pPr>
        <w:spacing w:after="90"/>
      </w:pPr>
      <w:r>
        <w:rPr>
          <w:rFonts w:ascii="Calibri" w:cs="Calibri" w:eastAsia="Calibri" w:hAnsi="Calibri"/>
          <w:b/>
          <w:bCs/>
          <w:color w:val="1F6F78"/>
          <w:sz w:val="21"/>
          <w:szCs w:val="21"/>
        </w:rPr>
        <w:t xml:space="preserve">18  </w:t>
      </w:r>
      <w:r>
        <w:rPr>
          <w:rFonts w:ascii="Calibri" w:cs="Calibri" w:eastAsia="Calibri" w:hAnsi="Calibri"/>
          <w:color w:val="23282D"/>
          <w:sz w:val="21"/>
          <w:szCs w:val="21"/>
        </w:rPr>
        <w:t xml:space="preserve">Voice and style guide</w:t>
      </w:r>
    </w:p>
    <w:p>
      <w:pPr>
        <w:spacing w:after="90"/>
      </w:pPr>
      <w:r>
        <w:rPr>
          <w:rFonts w:ascii="Calibri" w:cs="Calibri" w:eastAsia="Calibri" w:hAnsi="Calibri"/>
          <w:b/>
          <w:bCs/>
          <w:color w:val="1F6F78"/>
          <w:sz w:val="21"/>
          <w:szCs w:val="21"/>
        </w:rPr>
        <w:t xml:space="preserve">19  </w:t>
      </w:r>
      <w:r>
        <w:rPr>
          <w:rFonts w:ascii="Calibri" w:cs="Calibri" w:eastAsia="Calibri" w:hAnsi="Calibri"/>
          <w:color w:val="23282D"/>
          <w:sz w:val="21"/>
          <w:szCs w:val="21"/>
        </w:rPr>
        <w:t xml:space="preserve">Compliance and legal review checklist</w:t>
      </w:r>
    </w:p>
    <w:p>
      <w:pPr>
        <w:spacing w:after="90"/>
      </w:pPr>
      <w:r>
        <w:rPr>
          <w:rFonts w:ascii="Calibri" w:cs="Calibri" w:eastAsia="Calibri" w:hAnsi="Calibri"/>
          <w:b/>
          <w:bCs/>
          <w:color w:val="1F6F78"/>
          <w:sz w:val="21"/>
          <w:szCs w:val="21"/>
        </w:rPr>
        <w:t xml:space="preserve">20  </w:t>
      </w:r>
      <w:r>
        <w:rPr>
          <w:rFonts w:ascii="Calibri" w:cs="Calibri" w:eastAsia="Calibri" w:hAnsi="Calibri"/>
          <w:color w:val="23282D"/>
          <w:sz w:val="21"/>
          <w:szCs w:val="21"/>
        </w:rPr>
        <w:t xml:space="preserve">Build roadmap — four phases</w:t>
      </w:r>
    </w:p>
    <w:p>
      <w:pPr>
        <w:spacing w:after="90"/>
      </w:pPr>
      <w:r>
        <w:rPr>
          <w:rFonts w:ascii="Calibri" w:cs="Calibri" w:eastAsia="Calibri" w:hAnsi="Calibri"/>
          <w:b/>
          <w:bCs/>
          <w:color w:val="1F6F78"/>
          <w:sz w:val="21"/>
          <w:szCs w:val="21"/>
        </w:rPr>
        <w:t xml:space="preserve">21  </w:t>
      </w:r>
      <w:r>
        <w:rPr>
          <w:rFonts w:ascii="Calibri" w:cs="Calibri" w:eastAsia="Calibri" w:hAnsi="Calibri"/>
          <w:color w:val="23282D"/>
          <w:sz w:val="21"/>
          <w:szCs w:val="21"/>
        </w:rPr>
        <w:t xml:space="preserve">Content calendar — first six months</w:t>
      </w:r>
    </w:p>
    <w:p>
      <w:pPr>
        <w:spacing w:after="90"/>
      </w:pPr>
      <w:r>
        <w:rPr>
          <w:rFonts w:ascii="Calibri" w:cs="Calibri" w:eastAsia="Calibri" w:hAnsi="Calibri"/>
          <w:b/>
          <w:bCs/>
          <w:color w:val="1F6F78"/>
          <w:sz w:val="21"/>
          <w:szCs w:val="21"/>
        </w:rPr>
        <w:t xml:space="preserve">22  </w:t>
      </w:r>
      <w:r>
        <w:rPr>
          <w:rFonts w:ascii="Calibri" w:cs="Calibri" w:eastAsia="Calibri" w:hAnsi="Calibri"/>
          <w:color w:val="23282D"/>
          <w:sz w:val="21"/>
          <w:szCs w:val="21"/>
        </w:rPr>
        <w:t xml:space="preserve">Assumptions and open decisions register</w:t>
      </w:r>
    </w:p>
    <w:p>
      <w:pPr>
        <w:spacing w:after="90"/>
      </w:pPr>
      <w:r>
        <w:rPr>
          <w:rFonts w:ascii="Calibri" w:cs="Calibri" w:eastAsia="Calibri" w:hAnsi="Calibri"/>
          <w:b/>
          <w:bCs/>
          <w:color w:val="1F6F78"/>
          <w:sz w:val="21"/>
          <w:szCs w:val="21"/>
        </w:rPr>
        <w:t xml:space="preserve">23  </w:t>
      </w:r>
      <w:r>
        <w:rPr>
          <w:rFonts w:ascii="Calibri" w:cs="Calibri" w:eastAsia="Calibri" w:hAnsi="Calibri"/>
          <w:color w:val="23282D"/>
          <w:sz w:val="21"/>
          <w:szCs w:val="21"/>
        </w:rPr>
        <w:t xml:space="preserve">Appendix A — verified fund fact sheet</w:t>
      </w:r>
    </w:p>
    <w:p>
      <w:pPr>
        <w:spacing w:after="90"/>
      </w:pPr>
      <w:r>
        <w:rPr>
          <w:rFonts w:ascii="Calibri" w:cs="Calibri" w:eastAsia="Calibri" w:hAnsi="Calibri"/>
          <w:b/>
          <w:bCs/>
          <w:color w:val="1F6F78"/>
          <w:sz w:val="21"/>
          <w:szCs w:val="21"/>
        </w:rPr>
        <w:t xml:space="preserve">24  </w:t>
      </w:r>
      <w:r>
        <w:rPr>
          <w:rFonts w:ascii="Calibri" w:cs="Calibri" w:eastAsia="Calibri" w:hAnsi="Calibri"/>
          <w:color w:val="23282D"/>
          <w:sz w:val="21"/>
          <w:szCs w:val="21"/>
        </w:rPr>
        <w:t xml:space="preserve">Appendix B — page inventory and copy volume</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  How to use this document</w:t>
      </w:r>
    </w:p>
    <w:p>
      <w:pPr>
        <w:spacing w:after="140" w:line="290"/>
      </w:pPr>
      <w:r>
        <w:rPr>
          <w:rFonts w:ascii="Calibri" w:cs="Calibri" w:eastAsia="Calibri" w:hAnsi="Calibri"/>
          <w:b w:val="false"/>
          <w:bCs w:val="false"/>
          <w:i w:val="false"/>
          <w:iCs w:val="false"/>
          <w:color w:val="23282D"/>
          <w:sz w:val="21"/>
          <w:szCs w:val="21"/>
        </w:rPr>
        <w:t xml:space="preserve">This document is the single source of truth for the Y-Point website. It contains four layers, intended for different readers.</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000"/>
        <w:gridCol w:w="2200"/>
        <w:gridCol w:w="5160"/>
      </w:tblGrid>
      <w:tr>
        <w:trPr>
          <w:tblHeader/>
        </w:trPr>
        <w:tc>
          <w:tcPr>
            <w:tcW w:type="dxa" w:w="2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Layer</w:t>
            </w:r>
          </w:p>
        </w:tc>
        <w:tc>
          <w:tcPr>
            <w:tcW w:type="dxa" w:w="22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Sections</w:t>
            </w:r>
          </w:p>
        </w:tc>
        <w:tc>
          <w:tcPr>
            <w:tcW w:type="dxa" w:w="51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Who uses it</w:t>
            </w:r>
          </w:p>
        </w:tc>
      </w:tr>
      <w:tr>
        <w:trPr>
          <w:cantSplit/>
        </w:trPr>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Verification</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2, 4, 23</w:t>
            </w:r>
          </w:p>
        </w:tc>
        <w:tc>
          <w:tcPr>
            <w:tcW w:type="dxa" w:w="51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and Compliance. Read first. Section 4 is the one that prevents a regulatory problem.</w:t>
            </w:r>
          </w:p>
        </w:tc>
      </w:tr>
      <w:tr>
        <w:trPr>
          <w:cantSplit/>
        </w:trPr>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Strategy</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3, 5, 6</w:t>
            </w:r>
          </w:p>
        </w:tc>
        <w:tc>
          <w:tcPr>
            <w:tcW w:type="dxa" w:w="51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Partners. Agree before anything is designed.</w:t>
            </w:r>
          </w:p>
        </w:tc>
      </w:tr>
      <w:tr>
        <w:trPr>
          <w:cantSplit/>
        </w:trPr>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Content</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7–18</w:t>
            </w:r>
          </w:p>
        </w:tc>
        <w:tc>
          <w:tcPr>
            <w:tcW w:type="dxa" w:w="51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Copywriter, designer, developer. Shaded boxes are publication-ready draft copy.</w:t>
            </w:r>
          </w:p>
        </w:tc>
      </w:tr>
      <w:tr>
        <w:trPr>
          <w:cantSplit/>
        </w:trPr>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Delivery</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19–22, 24</w:t>
            </w:r>
          </w:p>
        </w:tc>
        <w:tc>
          <w:tcPr>
            <w:tcW w:type="dxa" w:w="51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Project owner, counsel, agency. Sequencing, gates, and open decisions.</w:t>
            </w:r>
          </w:p>
        </w:tc>
      </w:tr>
    </w:tbl>
    <w:p>
      <w:pPr>
        <w:spacing w:after="200"/>
      </w:pPr>
      <w:r>
        <w:t xml:space="preserve"/>
      </w:r>
    </w:p>
    <w:p>
      <w:pPr>
        <w:spacing w:after="140" w:line="290"/>
      </w:pPr>
      <w:r>
        <w:rPr>
          <w:rFonts w:ascii="Calibri" w:cs="Calibri" w:eastAsia="Calibri" w:hAnsi="Calibri"/>
          <w:b w:val="false"/>
          <w:bCs w:val="false"/>
          <w:i w:val="false"/>
          <w:iCs w:val="false"/>
          <w:color w:val="23282D"/>
          <w:sz w:val="21"/>
          <w:szCs w:val="21"/>
        </w:rPr>
        <w:t xml:space="preserve">Conventions:</w:t>
      </w:r>
    </w:p>
    <w:p>
      <w:pPr>
        <w:pStyle w:val="ListParagraph"/>
        <w:numPr>
          <w:ilvl w:val="0"/>
          <w:numId w:val="2"/>
        </w:numPr>
        <w:spacing w:after="80" w:line="285"/>
      </w:pPr>
      <w:r>
        <w:rPr>
          <w:rFonts w:ascii="Calibri" w:cs="Calibri" w:eastAsia="Calibri" w:hAnsi="Calibri"/>
          <w:color w:val="23282D"/>
          <w:sz w:val="21"/>
          <w:szCs w:val="21"/>
        </w:rPr>
        <w:t xml:space="preserve">Shaded boxes with a teal edge contain draft copy written for publication.</w:t>
      </w:r>
    </w:p>
    <w:p>
      <w:pPr>
        <w:pStyle w:val="ListParagraph"/>
        <w:numPr>
          <w:ilvl w:val="0"/>
          <w:numId w:val="2"/>
        </w:numPr>
        <w:spacing w:after="80" w:line="285"/>
      </w:pPr>
      <w:r>
        <w:rPr>
          <w:rFonts w:ascii="Calibri" w:cs="Calibri" w:eastAsia="Calibri" w:hAnsi="Calibri"/>
          <w:color w:val="23282D"/>
          <w:sz w:val="21"/>
          <w:szCs w:val="21"/>
        </w:rPr>
        <w:t xml:space="preserve">Shaded boxes with a rust edge are warnings — compliance gates or things that will go wrong if ignored.</w:t>
      </w:r>
    </w:p>
    <w:p>
      <w:pPr>
        <w:pStyle w:val="ListParagraph"/>
        <w:numPr>
          <w:ilvl w:val="0"/>
          <w:numId w:val="2"/>
        </w:numPr>
        <w:spacing w:after="80" w:line="285"/>
      </w:pPr>
      <w:r>
        <w:rPr>
          <w:rFonts w:ascii="Calibri" w:cs="Calibri" w:eastAsia="Calibri" w:hAnsi="Calibri"/>
          <w:color w:val="23282D"/>
          <w:sz w:val="21"/>
          <w:szCs w:val="21"/>
        </w:rPr>
        <w:t xml:space="preserve">Italic grey text is a note to the builder: page furniture, behaviour, or a dependency. Not website copy.</w:t>
      </w:r>
    </w:p>
    <w:p>
      <w:pPr>
        <w:pStyle w:val="ListParagraph"/>
        <w:numPr>
          <w:ilvl w:val="0"/>
          <w:numId w:val="2"/>
        </w:numPr>
        <w:spacing w:after="80" w:line="285"/>
      </w:pPr>
      <w:r>
        <w:rPr>
          <w:rFonts w:ascii="Calibri" w:cs="Calibri" w:eastAsia="Calibri" w:hAnsi="Calibri"/>
          <w:color w:val="23282D"/>
          <w:sz w:val="21"/>
          <w:szCs w:val="21"/>
        </w:rPr>
        <w:t xml:space="preserve">Square brackets mark a value still to be confirmed. Version 2.0 has removed most of these by reconciling to the fund documents.</w:t>
      </w:r>
    </w:p>
    <w:p>
      <w:pPr>
        <w:spacing w:after="160"/>
      </w:pPr>
      <w:r>
        <w:t xml:space="preserve"/>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ON SCOPE</w:t>
            </w:r>
          </w:p>
          <w:p>
            <w:pPr>
              <w:spacing w:after="0" w:line="290"/>
            </w:pPr>
            <w:r>
              <w:rPr>
                <w:rFonts w:ascii="Calibri" w:cs="Calibri" w:eastAsia="Calibri" w:hAnsi="Calibri"/>
                <w:color w:val="23282D"/>
                <w:sz w:val="21"/>
                <w:szCs w:val="21"/>
              </w:rPr>
              <w:t xml:space="preserve">This document deliberately specifies more than should be built at once. Section 20 sequences it. Building all twenty-two pages simultaneously produces twenty-two thin pages, which reads worse than fourteen dense ones. Phase discipline matters more than page count.</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  What changed in Version 2.0 — verified fund facts</w:t>
      </w:r>
    </w:p>
    <w:p>
      <w:pPr>
        <w:spacing w:after="140" w:line="290"/>
      </w:pPr>
      <w:r>
        <w:rPr>
          <w:rFonts w:ascii="Calibri" w:cs="Calibri" w:eastAsia="Calibri" w:hAnsi="Calibri"/>
          <w:b w:val="false"/>
          <w:bCs w:val="false"/>
          <w:i w:val="false"/>
          <w:iCs w:val="false"/>
          <w:color w:val="23282D"/>
          <w:sz w:val="21"/>
          <w:szCs w:val="21"/>
        </w:rPr>
        <w:t xml:space="preserve">Version 1.0 was drafted from public announcements. Version 2.0 is reconciled against the SEBI registration certificate, the attested PPM extract and the September 2026 LP deck. Seven material corrections resulted. They are listed here because several of them change what the website should say, and because the press coverage that most readers will have seen is, in places, wrong.</w:t>
      </w:r>
    </w:p>
    <w:p>
      <w:pPr>
        <w:spacing w:after="16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100"/>
        <w:gridCol w:w="3400"/>
        <w:gridCol w:w="3860"/>
      </w:tblGrid>
      <w:tr>
        <w:trPr>
          <w:tblHeader/>
        </w:trPr>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Version 1.0 / press said</w:t>
            </w:r>
          </w:p>
        </w:tc>
        <w:tc>
          <w:tcPr>
            <w:tcW w:type="dxa" w:w="38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Verified position</w:t>
            </w:r>
          </w:p>
        </w:tc>
      </w:tr>
      <w:tr>
        <w:trPr>
          <w:cantSplit/>
        </w:trPr>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Sectors</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Seven verticals including a standalone Nuclear &amp; Energy Technologies page, and semiconductors folded into AI.</w:t>
            </w:r>
          </w:p>
        </w:tc>
        <w:tc>
          <w:tcPr>
            <w:tcW w:type="dxa" w:w="3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SIX verticals per the LP deck: AI &amp; Advanced Computing; Advanced Manufacturing &amp; Semiconductor; Next Gen Materials; Space &amp; Defence; Climate &amp; CleanTech; Life Sciences. Semiconductor sits with manufacturing, not with AI. Nuclear appears in the December 2025 press release but NOT in the current LP deck sector list — see the open decision in Section 22.</w:t>
            </w:r>
          </w:p>
        </w:tc>
      </w:tr>
      <w:tr>
        <w:trPr>
          <w:cantSplit/>
        </w:trPr>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Cheque size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Up to ₹15 crore per company.</w:t>
            </w:r>
          </w:p>
        </w:tc>
        <w:tc>
          <w:tcPr>
            <w:tcW w:type="dxa" w:w="3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₹3–5 crore initial cheque, deployed against roughly 60% of the investable corpus. Around 40% is reserved for follow-on. The ₹15 crore press figure is a lifetime maximum across initial and follow-on, not an entry cheque. Stating ₹15 crore alone on the website would set the wrong expectation with founders and attract the wrong stage.</w:t>
            </w:r>
          </w:p>
        </w:tc>
      </w:tr>
      <w:tr>
        <w:trPr>
          <w:cantSplit/>
        </w:trPr>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TRL entry point</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TRL 3–5, entering at the earliest translational stage.</w:t>
            </w:r>
          </w:p>
        </w:tc>
        <w:tc>
          <w:tcPr>
            <w:tcW w:type="dxa" w:w="3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TRL 4–7. The LP deck is explicit: deploy where technical risk is substantially mitigated, and focus investment on commercial scale rather than technical R&amp;D. This is a significant correction — it changes the Lab to Market graphic, the fundable-company bar on every vertical page, and the message to researchers.</w:t>
            </w:r>
          </w:p>
        </w:tc>
      </w:tr>
      <w:tr>
        <w:trPr>
          <w:cantSplit/>
        </w:trPr>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scale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500+ startups since 2004.</w:t>
            </w:r>
          </w:p>
        </w:tc>
        <w:tc>
          <w:tcPr>
            <w:tcW w:type="dxa" w:w="3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532 startups supported (301 incubated, 231 through programmes); 1,200+ innovators; 103 current incubatees; ~300 IP assets generated; ~12,000 jobs created.</w:t>
            </w:r>
          </w:p>
        </w:tc>
      </w:tr>
      <w:tr>
        <w:trPr>
          <w:cantSplit/>
        </w:trPr>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status</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First close achieved (date unstated).</w:t>
            </w:r>
          </w:p>
        </w:tc>
        <w:tc>
          <w:tcPr>
            <w:tcW w:type="dxa" w:w="3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First close of ₹51 crore in May 2026 against a ₹250 crore target. 200+ opportunities evaluated; one term sheet signed; two deals at IC stage; around ten in pipeline.</w:t>
            </w:r>
          </w:p>
        </w:tc>
      </w:tr>
      <w:tr>
        <w:trPr>
          <w:cantSplit/>
        </w:trPr>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structure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Category II AIF, SEBI registered.</w:t>
            </w:r>
          </w:p>
        </w:tc>
        <w:tc>
          <w:tcPr>
            <w:tcW w:type="dxa" w:w="38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Venture Capital Fund-I, the first scheme of Y-Point Venture Capital Trust. SEBI Registration No. IN/AIF2/25-26/1937, granted 29 October 2025. Close-ended, 10-year term from First Closing, extendable by 2 years.</w:t>
            </w:r>
          </w:p>
        </w:tc>
      </w:tr>
      <w:tr>
        <w:trPr>
          <w:cantSplit/>
        </w:trPr>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Service providers</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Trustee and counsel named.</w:t>
            </w:r>
          </w:p>
        </w:tc>
        <w:tc>
          <w:tcPr>
            <w:tcW w:type="dxa" w:w="38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Trustee: Vistra ITCL (India) Limited. Legal and tax advisor: Nishith Desai Associates. Merchant banker: Religo Capital Advisors Private Limited. Custodian: to be appointed. Investment Manager and Co-Sponsor I: Y-Point Investment Advisors Private Limited, wholly owned by SINE. Co-Sponsor II: SINE Innoventure Private Trust, whose trustee is MITCON Credentia and whose sole beneficiary is IIT Bombay.</w:t>
            </w:r>
          </w:p>
        </w:tc>
      </w:tr>
    </w:tbl>
    <w:p>
      <w:pPr>
        <w:spacing w:after="20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THE CORRECTION THAT MATTERS MOST</w:t>
            </w:r>
          </w:p>
          <w:p>
            <w:pPr>
              <w:spacing w:after="120" w:line="290"/>
            </w:pPr>
            <w:r>
              <w:rPr>
                <w:rFonts w:ascii="Calibri" w:cs="Calibri" w:eastAsia="Calibri" w:hAnsi="Calibri"/>
                <w:color w:val="23282D"/>
                <w:sz w:val="21"/>
                <w:szCs w:val="21"/>
              </w:rPr>
              <w:t xml:space="preserve">The TRL 4–7 entry point is the one to internalise. Version 1.0 positioned Y-Point as the fund that arrives when the science is still unproven. The fund's own strategy says the opposite: SINE's grant ladder and incubation infrastructure retire the science risk first, and Y-Point enters once engineering risk is the dominant remaining risk, to fund commercialisation rather than research.</w:t>
            </w:r>
          </w:p>
          <w:p>
            <w:pPr>
              <w:spacing w:after="0" w:line="290"/>
            </w:pPr>
            <w:r>
              <w:rPr>
                <w:rFonts w:ascii="Calibri" w:cs="Calibri" w:eastAsia="Calibri" w:hAnsi="Calibri"/>
                <w:color w:val="23282D"/>
                <w:sz w:val="21"/>
                <w:szCs w:val="21"/>
              </w:rPr>
              <w:t xml:space="preserve">That is a better story, not a worse one, and it is more defensible. It says the ecosystem de-risks and the fund capitalises — which is precisely the argument for an incubator-linked fund existing at all. Every page in this document has been rewritten to that position.</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3  Strategic foundation</w:t>
      </w:r>
    </w:p>
    <w:p>
      <w:pPr>
        <w:pStyle w:val="Heading2"/>
        <w:spacing w:after="140" w:before="320"/>
      </w:pPr>
      <w:r>
        <w:rPr>
          <w:rFonts w:ascii="Calibri" w:cs="Calibri" w:eastAsia="Calibri" w:hAnsi="Calibri"/>
          <w:b/>
          <w:bCs/>
          <w:color w:val="14304A"/>
          <w:sz w:val="26"/>
          <w:szCs w:val="26"/>
        </w:rPr>
        <w:t xml:space="preserve">3.1  What transfers from the a16z model, and what does not</w:t>
      </w:r>
    </w:p>
    <w:p>
      <w:pPr>
        <w:spacing w:after="140" w:line="290"/>
      </w:pPr>
      <w:r>
        <w:rPr>
          <w:rFonts w:ascii="Calibri" w:cs="Calibri" w:eastAsia="Calibri" w:hAnsi="Calibri"/>
          <w:b w:val="false"/>
          <w:bCs w:val="false"/>
          <w:i w:val="false"/>
          <w:iCs w:val="false"/>
          <w:color w:val="23282D"/>
          <w:sz w:val="21"/>
          <w:szCs w:val="21"/>
        </w:rPr>
        <w:t xml:space="preserve">a16z's website is not a brochure. It is a content distribution engine that functions as a deal-sourcing moat, and its architecture works because of three conditions that do not apply to Y-Point.</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300"/>
        <w:gridCol w:w="3400"/>
        <w:gridCol w:w="3660"/>
      </w:tblGrid>
      <w:tr>
        <w:trPr>
          <w:tblHeader/>
        </w:trPr>
        <w:tc>
          <w:tcPr>
            <w:tcW w:type="dxa" w:w="23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Precondition</w:t>
            </w:r>
          </w:p>
        </w:tc>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a16z position</w:t>
            </w:r>
          </w:p>
        </w:tc>
        <w:tc>
          <w:tcPr>
            <w:tcW w:type="dxa" w:w="36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Y-Point position</w:t>
            </w:r>
          </w:p>
        </w:tc>
      </w:tr>
      <w:tr>
        <w:trPr>
          <w:cantSplit/>
        </w:trPr>
        <w:tc>
          <w:tcPr>
            <w:tcW w:type="dxa" w:w="2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Content supply</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staffed newsroom. Each vertical page is roughly 80% content feed. The architecture exists to hold volume.</w:t>
            </w:r>
          </w:p>
        </w:tc>
        <w:tc>
          <w:tcPr>
            <w:tcW w:type="dxa" w:w="3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four-person investment team. A feed built for fifty items showing four looks abandoned.</w:t>
            </w:r>
          </w:p>
        </w:tc>
      </w:tr>
      <w:tr>
        <w:trPr>
          <w:cantSplit/>
        </w:trPr>
        <w:tc>
          <w:tcPr>
            <w:tcW w:type="dxa" w:w="2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Fundraising posture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Capital base settled. The site speaks almost exclusively to founders. There is no LP section anywhere on a16z.com.</w:t>
            </w:r>
          </w:p>
        </w:tc>
        <w:tc>
          <w:tcPr>
            <w:tcW w:type="dxa" w:w="3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₹51 crore of a ₹250 crore target closed. The site must serve prospective LPs credibly without crossing into solicitation under the AIF framework.</w:t>
            </w:r>
          </w:p>
        </w:tc>
      </w:tr>
      <w:tr>
        <w:trPr>
          <w:cantSplit/>
        </w:trPr>
        <w:tc>
          <w:tcPr>
            <w:tcW w:type="dxa" w:w="2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density</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Several hundred companies. Filters across ten industries and four stages are genuinely useful.</w:t>
            </w:r>
          </w:p>
        </w:tc>
        <w:tc>
          <w:tcPr>
            <w:tcW w:type="dxa" w:w="3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One signed term sheet. Filters would return zero or one result per combination.</w:t>
            </w:r>
          </w:p>
        </w:tc>
      </w:tr>
    </w:tbl>
    <w:p>
      <w:pPr>
        <w:spacing w:after="200"/>
      </w:pPr>
      <w:r>
        <w:t xml:space="preserve"/>
      </w:r>
    </w:p>
    <w:p>
      <w:pPr>
        <w:pStyle w:val="Heading3"/>
        <w:spacing w:after="100" w:before="240"/>
      </w:pPr>
      <w:r>
        <w:rPr>
          <w:rFonts w:ascii="Calibri" w:cs="Calibri" w:eastAsia="Calibri" w:hAnsi="Calibri"/>
          <w:b/>
          <w:bCs/>
          <w:color w:val="1F6F78"/>
          <w:sz w:val="22"/>
          <w:szCs w:val="22"/>
        </w:rPr>
        <w:t xml:space="preserve">What does transfer</w:t>
      </w:r>
    </w:p>
    <w:p>
      <w:pPr>
        <w:pStyle w:val="ListParagraph"/>
        <w:numPr>
          <w:ilvl w:val="0"/>
          <w:numId w:val="2"/>
        </w:numPr>
        <w:spacing w:after="80" w:line="285"/>
      </w:pPr>
      <w:r>
        <w:rPr>
          <w:rFonts w:ascii="Calibri" w:cs="Calibri" w:eastAsia="Calibri" w:hAnsi="Calibri"/>
          <w:color w:val="23282D"/>
          <w:sz w:val="21"/>
          <w:szCs w:val="21"/>
        </w:rPr>
        <w:t xml:space="preserve">Thesis before portfolio. a16z states a defended worldview on every vertical page before showing a single logo. This is the correct order for a fund whose portfolio is still forming, because conviction is the asset you have and track record is the asset you do not.</w:t>
      </w:r>
    </w:p>
    <w:p>
      <w:pPr>
        <w:pStyle w:val="ListParagraph"/>
        <w:numPr>
          <w:ilvl w:val="0"/>
          <w:numId w:val="2"/>
        </w:numPr>
        <w:spacing w:after="80" w:line="285"/>
      </w:pPr>
      <w:r>
        <w:rPr>
          <w:rFonts w:ascii="Calibri" w:cs="Calibri" w:eastAsia="Calibri" w:hAnsi="Calibri"/>
          <w:color w:val="23282D"/>
          <w:sz w:val="21"/>
          <w:szCs w:val="21"/>
        </w:rPr>
        <w:t xml:space="preserve">An explicit "what you get beyond capital" page. a16z's platform page is the most commercially valuable page on their site. Y-Point's equivalent is built on SINE rather than headcount, and is stronger for it.</w:t>
      </w:r>
    </w:p>
    <w:p>
      <w:pPr>
        <w:pStyle w:val="ListParagraph"/>
        <w:numPr>
          <w:ilvl w:val="0"/>
          <w:numId w:val="2"/>
        </w:numPr>
        <w:spacing w:after="80" w:line="285"/>
      </w:pPr>
      <w:r>
        <w:rPr>
          <w:rFonts w:ascii="Calibri" w:cs="Calibri" w:eastAsia="Calibri" w:hAnsi="Calibri"/>
          <w:color w:val="23282D"/>
          <w:sz w:val="21"/>
          <w:szCs w:val="21"/>
        </w:rPr>
        <w:t xml:space="preserve">Content as proof of thesis rather than decoration.</w:t>
      </w:r>
    </w:p>
    <w:p>
      <w:pPr>
        <w:pStyle w:val="ListParagraph"/>
        <w:numPr>
          <w:ilvl w:val="0"/>
          <w:numId w:val="2"/>
        </w:numPr>
        <w:spacing w:after="80" w:line="285"/>
      </w:pPr>
      <w:r>
        <w:rPr>
          <w:rFonts w:ascii="Calibri" w:cs="Calibri" w:eastAsia="Calibri" w:hAnsi="Calibri"/>
          <w:color w:val="23282D"/>
          <w:sz w:val="21"/>
          <w:szCs w:val="21"/>
        </w:rPr>
        <w:t xml:space="preserve">Radical specificity about the investment bar. Vague criteria generate volume; specific criteria generate quality.</w:t>
      </w:r>
    </w:p>
    <w:p>
      <w:pPr>
        <w:spacing w:after="160"/>
      </w:pPr>
      <w:r>
        <w:t xml:space="preserve"/>
      </w:r>
    </w:p>
    <w:p>
      <w:pPr>
        <w:pStyle w:val="Heading3"/>
        <w:spacing w:after="100" w:before="240"/>
      </w:pPr>
      <w:r>
        <w:rPr>
          <w:rFonts w:ascii="Calibri" w:cs="Calibri" w:eastAsia="Calibri" w:hAnsi="Calibri"/>
          <w:b/>
          <w:bCs/>
          <w:color w:val="1F6F78"/>
          <w:sz w:val="22"/>
          <w:szCs w:val="22"/>
        </w:rPr>
        <w:t xml:space="preserve">What we are deliberately rejecting</w:t>
      </w:r>
    </w:p>
    <w:p>
      <w:pPr>
        <w:pStyle w:val="ListParagraph"/>
        <w:numPr>
          <w:ilvl w:val="0"/>
          <w:numId w:val="2"/>
        </w:numPr>
        <w:spacing w:after="80" w:line="285"/>
      </w:pPr>
      <w:r>
        <w:rPr>
          <w:rFonts w:ascii="Calibri" w:cs="Calibri" w:eastAsia="Calibri" w:hAnsi="Calibri"/>
          <w:color w:val="23282D"/>
          <w:sz w:val="21"/>
          <w:szCs w:val="21"/>
        </w:rPr>
        <w:t xml:space="preserve">Twelve focus areas. Six is right for a ₹250 crore fund with a ~20% per-sector cap. More would be dilution presented as breadth.</w:t>
      </w:r>
    </w:p>
    <w:p>
      <w:pPr>
        <w:pStyle w:val="ListParagraph"/>
        <w:numPr>
          <w:ilvl w:val="0"/>
          <w:numId w:val="2"/>
        </w:numPr>
        <w:spacing w:after="80" w:line="285"/>
      </w:pPr>
      <w:r>
        <w:rPr>
          <w:rFonts w:ascii="Calibri" w:cs="Calibri" w:eastAsia="Calibri" w:hAnsi="Calibri"/>
          <w:color w:val="23282D"/>
          <w:sz w:val="21"/>
          <w:szCs w:val="21"/>
        </w:rPr>
        <w:t xml:space="preserve">A high-frequency content feed. Section 21 commits to a cadence four people can actually sustain.</w:t>
      </w:r>
    </w:p>
    <w:p>
      <w:pPr>
        <w:pStyle w:val="ListParagraph"/>
        <w:numPr>
          <w:ilvl w:val="0"/>
          <w:numId w:val="2"/>
        </w:numPr>
        <w:spacing w:after="80" w:line="285"/>
      </w:pPr>
      <w:r>
        <w:rPr>
          <w:rFonts w:ascii="Calibri" w:cs="Calibri" w:eastAsia="Calibri" w:hAnsi="Calibri"/>
          <w:color w:val="23282D"/>
          <w:sz w:val="21"/>
          <w:szCs w:val="21"/>
        </w:rPr>
        <w:t xml:space="preserve">A firm-culture manifesto. a16z's works because fifteen years of behaviour sit behind it. Written on day one it reads as aspiration. Defer or omit.</w:t>
      </w:r>
    </w:p>
    <w:p>
      <w:pPr>
        <w:pStyle w:val="ListParagraph"/>
        <w:numPr>
          <w:ilvl w:val="0"/>
          <w:numId w:val="2"/>
        </w:numPr>
        <w:spacing w:after="80" w:line="285"/>
      </w:pPr>
      <w:r>
        <w:rPr>
          <w:rFonts w:ascii="Calibri" w:cs="Calibri" w:eastAsia="Calibri" w:hAnsi="Calibri"/>
          <w:color w:val="23282D"/>
          <w:sz w:val="21"/>
          <w:szCs w:val="21"/>
        </w:rPr>
        <w:t xml:space="preserve">Any performance signalling. This is not a stylistic choice — see Section 4.</w:t>
      </w:r>
    </w:p>
    <w:p>
      <w:pPr>
        <w:pStyle w:val="Heading2"/>
        <w:spacing w:after="140" w:before="320"/>
      </w:pPr>
      <w:r>
        <w:rPr>
          <w:rFonts w:ascii="Calibri" w:cs="Calibri" w:eastAsia="Calibri" w:hAnsi="Calibri"/>
          <w:b/>
          <w:bCs/>
          <w:color w:val="14304A"/>
          <w:sz w:val="26"/>
          <w:szCs w:val="26"/>
        </w:rPr>
        <w:t xml:space="preserve">3.2  The four audiences</w:t>
      </w:r>
    </w:p>
    <w:p>
      <w:pPr>
        <w:spacing w:after="140" w:line="290"/>
      </w:pPr>
      <w:r>
        <w:rPr>
          <w:rFonts w:ascii="Calibri" w:cs="Calibri" w:eastAsia="Calibri" w:hAnsi="Calibri"/>
          <w:b w:val="false"/>
          <w:bCs w:val="false"/>
          <w:i w:val="false"/>
          <w:iCs w:val="false"/>
          <w:color w:val="23282D"/>
          <w:sz w:val="21"/>
          <w:szCs w:val="21"/>
        </w:rPr>
        <w:t xml:space="preserve">a16z's site serves essentially one audience. Y-Point's serves four, and they want materially different things. Any page that serves none of them should not be built.</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800"/>
        <w:gridCol w:w="2700"/>
        <w:gridCol w:w="2500"/>
        <w:gridCol w:w="2360"/>
      </w:tblGrid>
      <w:tr>
        <w:trPr>
          <w:tblHeader/>
        </w:trPr>
        <w:tc>
          <w:tcPr>
            <w:tcW w:type="dxa" w:w="1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Audience</w:t>
            </w:r>
          </w:p>
        </w:tc>
        <w:tc>
          <w:tcPr>
            <w:tcW w:type="dxa" w:w="27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The question in their head</w:t>
            </w:r>
          </w:p>
        </w:tc>
        <w:tc>
          <w:tcPr>
            <w:tcW w:type="dxa" w:w="2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What converts them</w:t>
            </w:r>
          </w:p>
        </w:tc>
        <w:tc>
          <w:tcPr>
            <w:tcW w:type="dxa" w:w="2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Primary pages</w:t>
            </w:r>
          </w:p>
        </w:tc>
      </w:tr>
      <w:tr>
        <w:trPr>
          <w:cantSplit/>
        </w:trPr>
        <w:tc>
          <w:tcPr>
            <w:tcW w:type="dxa" w:w="1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 tech founders</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Will these people understand a seven-year hardware timeline and a prototype with no revenue?</w:t>
            </w:r>
          </w:p>
        </w:tc>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Evidence of technical depth; a stated bar they can measure themselves against; speed of response.</w:t>
            </w:r>
          </w:p>
        </w:tc>
        <w:tc>
          <w:tcPr>
            <w:tcW w:type="dxa" w:w="2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 Platform, Apply</w:t>
            </w:r>
          </w:p>
        </w:tc>
      </w:tr>
      <w:tr>
        <w:trPr>
          <w:cantSplit/>
        </w:trPr>
        <w:tc>
          <w:tcPr>
            <w:tcW w:type="dxa" w:w="1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Researchers and academics (pre-company)</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 have a technology, not a company. How does this work? What happens to my IP?</w:t>
            </w:r>
          </w:p>
        </w:tc>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Education, not a pitch. A clear map from lab to incorporation, and an honest statement that SINE — not the fund — is their first stop.</w:t>
            </w:r>
          </w:p>
        </w:tc>
        <w:tc>
          <w:tcPr>
            <w:tcW w:type="dxa" w:w="2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Lab to Market, Handbook, SINE Advantage</w:t>
            </w:r>
          </w:p>
        </w:tc>
      </w:tr>
      <w:tr>
        <w:trPr>
          <w:cantSplit/>
        </w:trPr>
        <w:tc>
          <w:tcPr>
            <w:tcW w:type="dxa" w:w="1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Prospective LPs</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Why does this team, with this access, see deals others cannot?</w:t>
            </w:r>
          </w:p>
        </w:tc>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Strategy clarity, governance credibility, the proprietary sourcing argument, the calibre of the IC.</w:t>
            </w:r>
          </w:p>
        </w:tc>
        <w:tc>
          <w:tcPr>
            <w:tcW w:type="dxa" w:w="2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About/The Fund, Team, Governance, LP page</w:t>
            </w:r>
          </w:p>
        </w:tc>
      </w:tr>
      <w:tr>
        <w:trPr>
          <w:cantSplit/>
        </w:trPr>
        <w:tc>
          <w:tcPr>
            <w:tcW w:type="dxa" w:w="1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Co-investors and ecosystem</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Is their deal flow worth my attention? How do they behave in a syndicate?</w:t>
            </w:r>
          </w:p>
        </w:tc>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quality signals, a clear co-investment posture, useful published work.</w:t>
            </w:r>
          </w:p>
        </w:tc>
        <w:tc>
          <w:tcPr>
            <w:tcW w:type="dxa" w:w="2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Insights, About</w:t>
            </w:r>
          </w:p>
        </w:tc>
      </w:tr>
    </w:tbl>
    <w:p>
      <w:pPr>
        <w:spacing w:after="20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THE STRATEGIC POINT</w:t>
            </w:r>
          </w:p>
          <w:p>
            <w:pPr>
              <w:spacing w:after="120" w:line="290"/>
            </w:pPr>
            <w:r>
              <w:rPr>
                <w:rFonts w:ascii="Calibri" w:cs="Calibri" w:eastAsia="Calibri" w:hAnsi="Calibri"/>
                <w:color w:val="23282D"/>
                <w:sz w:val="21"/>
                <w:szCs w:val="21"/>
              </w:rPr>
              <w:t xml:space="preserve">The researcher audience is the one no Indian venture site serves well, and it is the only one Y-Point can serve better than anybody else, because SINE is the reason the fund exists. A generalist seed fund cannot credibly publish a guide to assigning IP out of an IIT. Y-Point can, and the Dean R&amp;D relationship referenced in the LP deck is the proof.</w:t>
            </w:r>
          </w:p>
          <w:p>
            <w:pPr>
              <w:spacing w:after="0" w:line="290"/>
            </w:pPr>
            <w:r>
              <w:rPr>
                <w:rFonts w:ascii="Calibri" w:cs="Calibri" w:eastAsia="Calibri" w:hAnsi="Calibri"/>
                <w:color w:val="23282D"/>
                <w:sz w:val="21"/>
                <w:szCs w:val="21"/>
              </w:rPr>
              <w:t xml:space="preserve">There is a second-order benefit that matters more than the traffic. A researcher reached at TRL 2 is a founder Y-Point meets at TRL 4 with no competitive process. The site is not a marketing asset for that audience; it is the top of the proprietary sourcing funnel the LP deck is built on.</w:t>
            </w:r>
          </w:p>
        </w:tc>
      </w:tr>
    </w:tbl>
    <w:p>
      <w:pPr>
        <w:pStyle w:val="Heading2"/>
        <w:spacing w:after="140" w:before="320"/>
      </w:pPr>
      <w:r>
        <w:rPr>
          <w:rFonts w:ascii="Calibri" w:cs="Calibri" w:eastAsia="Calibri" w:hAnsi="Calibri"/>
          <w:b/>
          <w:bCs/>
          <w:color w:val="14304A"/>
          <w:sz w:val="26"/>
          <w:szCs w:val="26"/>
        </w:rPr>
        <w:t xml:space="preserve">3.3  Positioning and message hierarchy</w:t>
      </w:r>
    </w:p>
    <w:p>
      <w:pPr>
        <w:spacing w:after="80" w:before="180"/>
      </w:pPr>
      <w:r>
        <w:rPr>
          <w:rFonts w:ascii="Calibri" w:cs="Calibri" w:eastAsia="Calibri" w:hAnsi="Calibri"/>
          <w:b/>
          <w:bCs/>
          <w:color w:val="5A6472"/>
          <w:sz w:val="20"/>
          <w:szCs w:val="20"/>
        </w:rPr>
        <w:t xml:space="preserve">Core positioning — one sentence, used everywhere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0" w:line="290"/>
            </w:pPr>
            <w:r>
              <w:rPr>
                <w:rFonts w:ascii="Calibri" w:cs="Calibri" w:eastAsia="Calibri" w:hAnsi="Calibri"/>
                <w:color w:val="23282D"/>
                <w:sz w:val="21"/>
                <w:szCs w:val="21"/>
              </w:rPr>
              <w:t xml:space="preserve">Y-Point is the first institutional cheque for deep tech companies coming out of India's research institutions — arriving at the point where the science is proven and the company still has to be built.</w:t>
            </w:r>
          </w:p>
        </w:tc>
      </w:tr>
    </w:tbl>
    <w:p>
      <w:pPr>
        <w:spacing w:after="16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400"/>
        <w:gridCol w:w="3400"/>
        <w:gridCol w:w="4560"/>
      </w:tblGrid>
      <w:tr>
        <w:trPr>
          <w:tblHeader/>
        </w:trPr>
        <w:tc>
          <w:tcPr>
            <w:tcW w:type="dxa" w:w="1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Level</w:t>
            </w:r>
          </w:p>
        </w:tc>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Message</w:t>
            </w:r>
          </w:p>
        </w:tc>
        <w:tc>
          <w:tcPr>
            <w:tcW w:type="dxa" w:w="4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Verified evidence</w:t>
            </w:r>
          </w:p>
        </w:tc>
      </w:tr>
      <w:tr>
        <w:trPr>
          <w:cantSplit/>
        </w:trPr>
        <w:tc>
          <w:tcPr>
            <w:tcW w:type="dxa" w:w="1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Primary</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fund the institutional gap at TRL 4–7.</w:t>
            </w:r>
          </w:p>
        </w:tc>
        <w:tc>
          <w:tcPr>
            <w:tcW w:type="dxa" w:w="4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Pre-seed and seed mandate; ₹3–5 Cr initial cheques; 25–30 companies; explicit strategy of deploying where science risk is retired and engineering risk remains.</w:t>
            </w:r>
          </w:p>
        </w:tc>
      </w:tr>
      <w:tr>
        <w:trPr>
          <w:cantSplit/>
        </w:trPr>
        <w:tc>
          <w:tcPr>
            <w:tcW w:type="dxa" w:w="1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Secondary</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are the capital arm of the incubator, not a fund with a partnership.</w:t>
            </w:r>
          </w:p>
        </w:tc>
        <w:tc>
          <w:tcPr>
            <w:tcW w:type="dxa" w:w="4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Investment Advisors is wholly owned by SINE; SINE Innoventure Private Trust is co-sponsor with IIT Bombay as sole beneficiary; 103 current incubatees as standing pipeline.</w:t>
            </w:r>
          </w:p>
        </w:tc>
      </w:tr>
      <w:tr>
        <w:trPr>
          <w:cantSplit/>
        </w:trPr>
        <w:tc>
          <w:tcPr>
            <w:tcW w:type="dxa" w:w="1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Secondary</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de-risks; Y-Point capitalises.</w:t>
            </w:r>
          </w:p>
        </w:tc>
        <w:tc>
          <w:tcPr>
            <w:tcW w:type="dxa" w:w="4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SINE's TRL advancement funding ladder — IoE/EIR, translational and scale-up seed grants — moves ventures from TRL 3 to 7 before venture capital is deployed.</w:t>
            </w:r>
          </w:p>
        </w:tc>
      </w:tr>
      <w:tr>
        <w:trPr>
          <w:cantSplit/>
        </w:trPr>
        <w:tc>
          <w:tcPr>
            <w:tcW w:type="dxa" w:w="1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Secondary</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Our investment committee has built the things we invest in.</w:t>
            </w:r>
          </w:p>
        </w:tc>
        <w:tc>
          <w:tcPr>
            <w:tcW w:type="dxa" w:w="4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Six-member IC with 110+ years of combined experience spanning ISRO, the iDEX initiative, AstraZeneca India, and two active venture general partners.</w:t>
            </w:r>
          </w:p>
        </w:tc>
      </w:tr>
      <w:tr>
        <w:trPr>
          <w:cantSplit/>
        </w:trPr>
        <w:tc>
          <w:tcPr>
            <w:tcW w:type="dxa" w:w="1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Secondary</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Proprietary access, not competitive process.</w:t>
            </w:r>
          </w:p>
        </w:tc>
        <w:tc>
          <w:tcPr>
            <w:tcW w:type="dxa" w:w="4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Priority access to 103 incubatees; direct channel to IIT Bombay faculty, students and alumni; 60+ incubator network; 65,000+ alumni network.</w:t>
            </w:r>
          </w:p>
        </w:tc>
      </w:tr>
      <w:tr>
        <w:trPr>
          <w:cantSplit/>
        </w:trPr>
        <w:tc>
          <w:tcPr>
            <w:tcW w:type="dxa" w:w="1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Tertiary</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are institutionally sound.</w:t>
            </w:r>
          </w:p>
        </w:tc>
        <w:tc>
          <w:tcPr>
            <w:tcW w:type="dxa" w:w="4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SEBI Category II AIF, Reg. No. IN/AIF2/25-26/1937; independent trustee; Nishith Desai Associates as counsel; IIT Bombay governance oversight.</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4  The disclosure firewall — LP deck to public website</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READ THIS SECTION BEFORE WRITING A SINGLE LINE OF PUBLIC COPY</w:t>
            </w:r>
          </w:p>
          <w:p>
            <w:pPr>
              <w:spacing w:after="120" w:line="290"/>
            </w:pPr>
            <w:r>
              <w:rPr>
                <w:rFonts w:ascii="Calibri" w:cs="Calibri" w:eastAsia="Calibri" w:hAnsi="Calibri"/>
                <w:color w:val="23282D"/>
                <w:sz w:val="21"/>
                <w:szCs w:val="21"/>
              </w:rPr>
              <w:t xml:space="preserve">The September 2026 LP deck is marked Private &amp; Confidential, For Limited Circulation Only, and its own legal disclaimer states that it does not constitute an offer and that any offer will be made solely through the PPM. It is the richest source of material for the website and the single most likely cause of a compliance failure.</w:t>
            </w:r>
          </w:p>
          <w:p>
            <w:pPr>
              <w:spacing w:after="0" w:line="290"/>
            </w:pPr>
            <w:r>
              <w:rPr>
                <w:rFonts w:ascii="Calibri" w:cs="Calibri" w:eastAsia="Calibri" w:hAnsi="Calibri"/>
                <w:color w:val="23282D"/>
                <w:sz w:val="21"/>
                <w:szCs w:val="21"/>
              </w:rPr>
              <w:t xml:space="preserve">Much of the deck is safe to adapt. Some of it must never appear on a public page in any form, however it is reworded. The table below is the operative rule. Treat it as binding, and have counsel confirm it.</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4.1  What may move to the public site</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400"/>
        <w:gridCol w:w="2700"/>
        <w:gridCol w:w="3260"/>
      </w:tblGrid>
      <w:tr>
        <w:trPr>
          <w:tblHeader/>
        </w:trPr>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LP deck material</w:t>
            </w:r>
          </w:p>
        </w:tc>
        <w:tc>
          <w:tcPr>
            <w:tcW w:type="dxa" w:w="27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Public use</w:t>
            </w:r>
          </w:p>
        </w:tc>
        <w:tc>
          <w:tcPr>
            <w:tcW w:type="dxa" w:w="32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Condition</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structure, SEBI category and registration number</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Must match the certificate exactly. Reg. No. IN/AIF2/25-26/1937.</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Target corpus of ₹250 crore</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State as target. Never imply it is committed or raised.</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Stage, sectors, portfolio size of 25–30</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Strategy description, not a forward-looking promise.</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Initial cheque band of ₹3–5 crore</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Genuinely useful to founders; sets correct expectations.</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TRL 4–7 positioning and the funding-stage table</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strongest founder-facing asset in the whole deck. Rebuild as the Lab to Market graphic.</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operating statistics — 532 startups, 1,200+ innovators, 103 incubatees, ~300 IP assets, ~12,000 jobs</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These are SINE's numbers, not fund performance. Attribute to SINE explicitly and get SINE's sign-off on the current figures.</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 rankings, departments, centres of excellence</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Institutional context. Confirm currency of the QS figures.</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team and IC biographies</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With each individual's written approval. Omit their personal performance figures — see 4.2.</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Advisors and mentors</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With each individual's written consent. Several are senior public figures; do not assume.</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process — sourcing through to IC Level 2</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Excellent Apply-page content. Shows founders exactly what happens.</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 tech timing data — founding-to-seed 19 months versus 10</w:t>
            </w:r>
          </w:p>
        </w:tc>
        <w:tc>
          <w:tcPr>
            <w:tcW w:type="dxa" w:w="27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Cite the source as the deck does (Tracxn plus internal analysis).</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 ecosystem map — IRCC, SINE, ASPIRE, TRYST, CSIF, TIH</w:t>
            </w:r>
          </w:p>
        </w:tc>
        <w:tc>
          <w:tcPr>
            <w:tcW w:type="dxa" w:w="27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3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Strong SINE Advantage content.</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4.2  What must not appear on a public page</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400"/>
        <w:gridCol w:w="5960"/>
      </w:tblGrid>
      <w:tr>
        <w:trPr>
          <w:tblHeader/>
        </w:trPr>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LP deck material</w:t>
            </w:r>
          </w:p>
        </w:tc>
        <w:tc>
          <w:tcPr>
            <w:tcW w:type="dxa" w:w="59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Why it stays behind the wall</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SINE's historical returns — ₹69.6 Cr invested, ₹48.7 Cr returned, ₹217.5 Cr unrealised, 36.8% IRR, 3.8x CoC</w:t>
            </w:r>
          </w:p>
        </w:tc>
        <w:tc>
          <w:tcPr>
            <w:tcW w:type="dxa" w:w="59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This is the highest-risk content in the deck. Even with the deck's own footnote that these are SINE's incubation outcomes and not Fund-I performance, publishing IRR and multiple figures on a page that also markets a fund invites the inference the footnote denies. The deck's own disclaimer says investors are not being offered guaranteed or assured returns and that nothing should be read as a projection. A public page cannot carry that protection reliably. Omit entirely.</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Company-level MOIC table — Haystack 5x, ImmunoACT 20x, Peppermint 5x and the rest</w:t>
            </w:r>
          </w:p>
        </w:tc>
        <w:tc>
          <w:tcPr>
            <w:tcW w:type="dxa" w:w="59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Same reasoning, with an additional problem: these are third-party companies' valuation data, unaudited and based on last-round pricing. Publishing them is a disclosure issue for those companies as much as for the Fund.</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 members' personal track records — blended MOIC, Detect Technologies 12.4x, Fabheads 12.1x</w:t>
            </w:r>
          </w:p>
        </w:tc>
        <w:tc>
          <w:tcPr>
            <w:tcW w:type="dxa" w:w="59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Individual performance attribution on a public page is performance advertising by another name. A bio may say what someone has done; it should not quantify how well it went.</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First close amount of ₹51 crore and fundraising progress</w:t>
            </w:r>
          </w:p>
        </w:tc>
        <w:tc>
          <w:tcPr>
            <w:tcW w:type="dxa" w:w="59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Disclosing where a live raise stands, publicly, is both a solicitation risk and a negotiating disadvantage. Keep this to LP conversations and the gated pack.</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Pipeline detail — one term sheet signed, two at IC, ten in pipeline</w:t>
            </w:r>
          </w:p>
        </w:tc>
        <w:tc>
          <w:tcPr>
            <w:tcW w:type="dxa" w:w="59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Commercially sensitive and stale within weeks. It also signals a thin portfolio to founders you are trying to attract.</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Specific named SINE portfolio companies presented without separation</w:t>
            </w:r>
          </w:p>
        </w:tc>
        <w:tc>
          <w:tcPr>
            <w:tcW w:type="dxa" w:w="59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See 4.4 — this needs a labelling rule rather than an outright prohibition.</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Fee structure, carry, hurdle, distribution waterfall</w:t>
            </w:r>
          </w:p>
        </w:tc>
        <w:tc>
          <w:tcPr>
            <w:tcW w:type="dxa" w:w="59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Commercial terms belong in the PPM. Never on a website, gated or otherwise.</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Any forward-looking statement about fund size, returns or exits</w:t>
            </w:r>
          </w:p>
        </w:tc>
        <w:tc>
          <w:tcPr>
            <w:tcW w:type="dxa" w:w="59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deck contains forward-looking statements under an explicit disclaimer. A website carries no such shelter.</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4.3  The reasoning, in one paragraph</w:t>
      </w:r>
    </w:p>
    <w:p>
      <w:pPr>
        <w:spacing w:after="140" w:line="290"/>
      </w:pPr>
      <w:r>
        <w:rPr>
          <w:rFonts w:ascii="Calibri" w:cs="Calibri" w:eastAsia="Calibri" w:hAnsi="Calibri"/>
          <w:b w:val="false"/>
          <w:bCs w:val="false"/>
          <w:i w:val="false"/>
          <w:iCs w:val="false"/>
          <w:color w:val="23282D"/>
          <w:sz w:val="21"/>
          <w:szCs w:val="21"/>
        </w:rPr>
        <w:t xml:space="preserve">The distinction is not between good news and bad news. It is between describing a strategy and implying an outcome. A website may say what the Fund intends to do, who is doing it, and what infrastructure stands behind them. The moment it publishes a number that a reader could take as evidence of what an investment in the Fund will return — whether that number came from SINE, from a partner's previous employer, or from a portfolio company's last round — it has moved from description to inducement. For a Category II AIF whose units are offered only by private placement, that is the line that matters, and it is worth being conservative about, because the cost of restraint is a slightly less impressive page and the cost of error is a regulatory conversation.</w:t>
      </w:r>
    </w:p>
    <w:p>
      <w:pPr>
        <w:spacing w:after="200"/>
      </w:pPr>
      <w:r>
        <w:t xml:space="preserve"/>
      </w:r>
    </w:p>
    <w:p>
      <w:pPr>
        <w:pStyle w:val="Heading2"/>
        <w:spacing w:after="140" w:before="320"/>
      </w:pPr>
      <w:r>
        <w:rPr>
          <w:rFonts w:ascii="Calibri" w:cs="Calibri" w:eastAsia="Calibri" w:hAnsi="Calibri"/>
          <w:b/>
          <w:bCs/>
          <w:color w:val="14304A"/>
          <w:sz w:val="26"/>
          <w:szCs w:val="26"/>
        </w:rPr>
        <w:t xml:space="preserve">4.4  The SINE heritage labelling rule</w:t>
      </w:r>
    </w:p>
    <w:p>
      <w:pPr>
        <w:spacing w:after="140" w:line="290"/>
      </w:pPr>
      <w:r>
        <w:rPr>
          <w:rFonts w:ascii="Calibri" w:cs="Calibri" w:eastAsia="Calibri" w:hAnsi="Calibri"/>
          <w:b w:val="false"/>
          <w:bCs w:val="false"/>
          <w:i w:val="false"/>
          <w:iCs w:val="false"/>
          <w:color w:val="23282D"/>
          <w:sz w:val="21"/>
          <w:szCs w:val="21"/>
        </w:rPr>
        <w:t xml:space="preserve">The deck names ideaForge, Atomberg, Sedemac, ImmunoACT, Gupshup and Safe Security, and lists SINE portfolio examples under each sector. These are genuinely powerful credibility assets and the website should use them. The deck already applies the correct discipline, and the website must apply it more visibly.</w:t>
      </w:r>
    </w:p>
    <w:p>
      <w:pPr>
        <w:spacing w:after="140"/>
      </w:pPr>
      <w:r>
        <w:t xml:space="preserve"/>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BINDING RULE</w:t>
            </w:r>
          </w:p>
          <w:p>
            <w:pPr>
              <w:spacing w:after="120" w:line="290"/>
            </w:pPr>
            <w:r>
              <w:rPr>
                <w:rFonts w:ascii="Calibri" w:cs="Calibri" w:eastAsia="Calibri" w:hAnsi="Calibri"/>
                <w:color w:val="23282D"/>
                <w:sz w:val="21"/>
                <w:szCs w:val="21"/>
              </w:rPr>
              <w:t xml:space="preserve">Every appearance of a SINE-incubated company on the Y-Point website must carry, in visible body text and not in a footnote, a statement that it is drawn from SINE's incubation portfolio and is not a Y-Point Fund-I investment.</w:t>
            </w:r>
          </w:p>
          <w:p>
            <w:pPr>
              <w:spacing w:after="120" w:line="290"/>
            </w:pPr>
            <w:r>
              <w:rPr>
                <w:rFonts w:ascii="Calibri" w:cs="Calibri" w:eastAsia="Calibri" w:hAnsi="Calibri"/>
                <w:color w:val="23282D"/>
                <w:sz w:val="21"/>
                <w:szCs w:val="21"/>
              </w:rPr>
              <w:t xml:space="preserve">SINE heritage companies and Y-Point portfolio companies must never appear in the same visual grid, logo wall or carousel. Separate sections, separate headings, separate visual treatment.</w:t>
            </w:r>
          </w:p>
          <w:p>
            <w:pPr>
              <w:spacing w:after="120" w:line="290"/>
            </w:pPr>
            <w:r>
              <w:rPr>
                <w:rFonts w:ascii="Calibri" w:cs="Calibri" w:eastAsia="Calibri" w:hAnsi="Calibri"/>
                <w:color w:val="23282D"/>
                <w:sz w:val="21"/>
                <w:szCs w:val="21"/>
              </w:rPr>
              <w:t xml:space="preserve">No revenue, valuation, funding or multiple figures for SINE heritage companies. A one-line description of what they built is sufficient, and is the part that carries the credibility anyway.</w:t>
            </w:r>
          </w:p>
          <w:p>
            <w:pPr>
              <w:spacing w:after="0" w:line="290"/>
            </w:pPr>
            <w:r>
              <w:rPr>
                <w:rFonts w:ascii="Calibri" w:cs="Calibri" w:eastAsia="Calibri" w:hAnsi="Calibri"/>
                <w:color w:val="23282D"/>
                <w:sz w:val="21"/>
                <w:szCs w:val="21"/>
              </w:rPr>
              <w:t xml:space="preserve">Recommended framing for the SINE Advantage page: 'The ecosystem Y-Point invests out of has produced companies like these. They are SINE incubation outcomes, not Fund-I investments — but they are why we believe the next generation is worth backing early.'</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5  Sitemap and navigation</w:t>
      </w:r>
    </w:p>
    <w:p>
      <w:pPr>
        <w:spacing w:after="140" w:line="290"/>
      </w:pPr>
      <w:r>
        <w:rPr>
          <w:rFonts w:ascii="Calibri" w:cs="Calibri" w:eastAsia="Calibri" w:hAnsi="Calibri"/>
          <w:b w:val="false"/>
          <w:bCs w:val="false"/>
          <w:i w:val="false"/>
          <w:iCs w:val="false"/>
          <w:color w:val="23282D"/>
          <w:sz w:val="21"/>
          <w:szCs w:val="21"/>
        </w:rPr>
        <w:t xml:space="preserve">Twenty-two pages at full build, in five primary sections plus a persistent conversion path.</w:t>
      </w:r>
    </w:p>
    <w:p>
      <w:pPr>
        <w:pStyle w:val="Heading2"/>
        <w:spacing w:after="140" w:before="320"/>
      </w:pPr>
      <w:r>
        <w:rPr>
          <w:rFonts w:ascii="Calibri" w:cs="Calibri" w:eastAsia="Calibri" w:hAnsi="Calibri"/>
          <w:b/>
          <w:bCs/>
          <w:color w:val="14304A"/>
          <w:sz w:val="26"/>
          <w:szCs w:val="26"/>
        </w:rPr>
        <w:t xml:space="preserve">5.1  Primary navigation</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NAV BAR</w:t>
            </w:r>
          </w:p>
          <w:p>
            <w:pPr>
              <w:spacing w:after="0" w:line="290"/>
            </w:pPr>
            <w:r>
              <w:rPr>
                <w:rFonts w:ascii="Calibri" w:cs="Calibri" w:eastAsia="Calibri" w:hAnsi="Calibri"/>
                <w:color w:val="23282D"/>
                <w:sz w:val="21"/>
                <w:szCs w:val="21"/>
              </w:rPr>
              <w:t xml:space="preserve">Focus Areas   ·   Portfolio   ·   Platform   ·   Insights   ·   About            [ Apply ]</w:t>
            </w:r>
          </w:p>
        </w:tc>
      </w:tr>
    </w:tbl>
    <w:p>
      <w:pPr>
        <w:spacing w:after="140"/>
      </w:pPr>
      <w:r>
        <w:t xml:space="preserve"/>
      </w:r>
    </w:p>
    <w:p>
      <w:pPr>
        <w:spacing w:after="140" w:line="290"/>
      </w:pPr>
      <w:r>
        <w:rPr>
          <w:rFonts w:ascii="Calibri" w:cs="Calibri" w:eastAsia="Calibri" w:hAnsi="Calibri"/>
          <w:b w:val="false"/>
          <w:bCs w:val="false"/>
          <w:i/>
          <w:iCs/>
          <w:color w:val="5A6472"/>
          <w:sz w:val="19"/>
          <w:szCs w:val="19"/>
        </w:rPr>
        <w:t xml:space="preserve">Apply is a persistent, visually distinct button in the top right on every page including the homepage. Founder conversion is the site's primary job and should never be more than one click away.</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5.2  Full sitemap</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400"/>
        <w:gridCol w:w="1200"/>
        <w:gridCol w:w="2200"/>
        <w:gridCol w:w="3560"/>
      </w:tblGrid>
      <w:tr>
        <w:trPr>
          <w:tblHeader/>
        </w:trPr>
        <w:tc>
          <w:tcPr>
            <w:tcW w:type="dxa" w:w="2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Page</w:t>
            </w:r>
          </w:p>
        </w:tc>
        <w:tc>
          <w:tcPr>
            <w:tcW w:type="dxa" w:w="12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Phase</w:t>
            </w:r>
          </w:p>
        </w:tc>
        <w:tc>
          <w:tcPr>
            <w:tcW w:type="dxa" w:w="22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Primary audience</w:t>
            </w:r>
          </w:p>
        </w:tc>
        <w:tc>
          <w:tcPr>
            <w:tcW w:type="dxa" w:w="3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Purpose</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four</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Establish category ownership in eight seconds and route each audience correctly.</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 (hub)</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Show breadth; route to the relevant thesis.</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AI &amp; Advanced Computing</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State a defended thesis and a measurable bar.</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Advanced Manufacturing &amp; Semiconductor</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above.</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Next Gen Materials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above.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Space &amp; Defence</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above.</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Climate &amp; CleanTech</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above.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Life Sciences</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above.</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Platform / The Y-Point Edge</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 LPs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Answer "why you, and not a cheque from anyone else".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The SINE Advantage</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 LPs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Make the incubator link concrete rather than rhetorical.</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Lab to Market</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Researchers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TRL journey and where Y-Point enters. Highest-value shareable asset on the site.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four</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Credibility. Filters activate only once density justifies them.</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Company detail pages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Co-investors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Depth per company, where consent is in place.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Insights (hub)</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 ecosystem</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Container for three content streams.</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Perspectives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Ecosystem</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Partner essays, monthly.</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Deep Tech Founder's Handbook</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Researchers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Evergreen practical primers. The inbound magnet.</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News &amp; Announcements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four</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Press, investments, milestones.</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 — The Fund</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Mandate, structure, size, stage, sectors.</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 — Team</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four</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Who decides, and why they are credible.</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 — Governance &amp; Structure</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Trustee, manager, sponsors, counsel, IC, regulatory status.</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 / For Founders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Convert. Set expectations on process and timelines.</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 &amp; Institutional</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LPs</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Informational; substantive material gated.</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Contact</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four</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Route enquiries correctly.</w:t>
            </w:r>
          </w:p>
        </w:tc>
      </w:tr>
      <w:tr>
        <w:trPr>
          <w:cantSplit/>
        </w:trPr>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Careers</w:t>
            </w:r>
          </w:p>
        </w:tc>
        <w:tc>
          <w:tcPr>
            <w:tcW w:type="dxa" w:w="1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w:t>
            </w:r>
          </w:p>
        </w:tc>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Talent</w:t>
            </w:r>
          </w:p>
        </w:tc>
        <w:tc>
          <w:tcPr>
            <w:tcW w:type="dxa" w:w="3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roles and portfolio roles.</w:t>
            </w:r>
          </w:p>
        </w:tc>
      </w:tr>
      <w:tr>
        <w:trPr>
          <w:cantSplit/>
        </w:trPr>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Disclosures / Privacy / Terms</w:t>
            </w:r>
          </w:p>
        </w:tc>
        <w:tc>
          <w:tcPr>
            <w:tcW w:type="dxa" w:w="1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w:t>
            </w:r>
          </w:p>
        </w:tc>
        <w:tc>
          <w:tcPr>
            <w:tcW w:type="dxa" w:w="3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Mandatory.</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6  Global elements</w:t>
      </w:r>
    </w:p>
    <w:p>
      <w:pPr>
        <w:pStyle w:val="Heading2"/>
        <w:spacing w:after="140" w:before="320"/>
      </w:pPr>
      <w:r>
        <w:rPr>
          <w:rFonts w:ascii="Calibri" w:cs="Calibri" w:eastAsia="Calibri" w:hAnsi="Calibri"/>
          <w:b/>
          <w:bCs/>
          <w:color w:val="14304A"/>
          <w:sz w:val="26"/>
          <w:szCs w:val="26"/>
        </w:rPr>
        <w:t xml:space="preserve">6.1  Footer</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340"/>
        <w:gridCol w:w="2340"/>
        <w:gridCol w:w="2340"/>
        <w:gridCol w:w="2340"/>
      </w:tblGrid>
      <w:tr>
        <w:trPr>
          <w:tblHeader/>
        </w:trPr>
        <w:tc>
          <w:tcPr>
            <w:tcW w:type="dxa" w:w="234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Explore</w:t>
            </w:r>
          </w:p>
        </w:tc>
        <w:tc>
          <w:tcPr>
            <w:tcW w:type="dxa" w:w="234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Founders</w:t>
            </w:r>
          </w:p>
        </w:tc>
        <w:tc>
          <w:tcPr>
            <w:tcW w:type="dxa" w:w="234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Company</w:t>
            </w:r>
          </w:p>
        </w:tc>
        <w:tc>
          <w:tcPr>
            <w:tcW w:type="dxa" w:w="234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Connect</w:t>
            </w:r>
          </w:p>
        </w:tc>
      </w:tr>
      <w:tr>
        <w:trPr>
          <w:cantSplit/>
        </w:trPr>
        <w:tc>
          <w:tcPr>
            <w:tcW w:type="dxa" w:w="234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w:t>
            </w:r>
          </w:p>
          <w:p>
            <w:pPr>
              <w:spacing w:after="0" w:line="270"/>
            </w:pPr>
            <w:r>
              <w:rPr>
                <w:rFonts w:ascii="Calibri" w:cs="Calibri" w:eastAsia="Calibri" w:hAnsi="Calibri"/>
                <w:b w:val="false"/>
                <w:bCs w:val="false"/>
                <w:color w:val="23282D"/>
                <w:sz w:val="19"/>
                <w:szCs w:val="19"/>
              </w:rPr>
              <w:t xml:space="preserve">Portfolio</w:t>
            </w:r>
          </w:p>
          <w:p>
            <w:pPr>
              <w:spacing w:after="0" w:line="270"/>
            </w:pPr>
            <w:r>
              <w:rPr>
                <w:rFonts w:ascii="Calibri" w:cs="Calibri" w:eastAsia="Calibri" w:hAnsi="Calibri"/>
                <w:b w:val="false"/>
                <w:bCs w:val="false"/>
                <w:color w:val="23282D"/>
                <w:sz w:val="19"/>
                <w:szCs w:val="19"/>
              </w:rPr>
              <w:t xml:space="preserve">Platform</w:t>
            </w:r>
          </w:p>
          <w:p>
            <w:pPr>
              <w:spacing w:after="0" w:line="270"/>
            </w:pPr>
            <w:r>
              <w:rPr>
                <w:rFonts w:ascii="Calibri" w:cs="Calibri" w:eastAsia="Calibri" w:hAnsi="Calibri"/>
                <w:b w:val="false"/>
                <w:bCs w:val="false"/>
                <w:color w:val="23282D"/>
                <w:sz w:val="19"/>
                <w:szCs w:val="19"/>
              </w:rPr>
              <w:t xml:space="preserve">Insights</w:t>
            </w:r>
          </w:p>
        </w:tc>
        <w:tc>
          <w:tcPr>
            <w:tcW w:type="dxa" w:w="234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 for funding</w:t>
            </w:r>
          </w:p>
          <w:p>
            <w:pPr>
              <w:spacing w:after="0" w:line="270"/>
            </w:pPr>
            <w:r>
              <w:rPr>
                <w:rFonts w:ascii="Calibri" w:cs="Calibri" w:eastAsia="Calibri" w:hAnsi="Calibri"/>
                <w:b w:val="false"/>
                <w:bCs w:val="false"/>
                <w:color w:val="23282D"/>
                <w:sz w:val="19"/>
                <w:szCs w:val="19"/>
              </w:rPr>
              <w:t xml:space="preserve">Lab to Market</w:t>
            </w:r>
          </w:p>
          <w:p>
            <w:pPr>
              <w:spacing w:after="0" w:line="270"/>
            </w:pPr>
            <w:r>
              <w:rPr>
                <w:rFonts w:ascii="Calibri" w:cs="Calibri" w:eastAsia="Calibri" w:hAnsi="Calibri"/>
                <w:b w:val="false"/>
                <w:bCs w:val="false"/>
                <w:color w:val="23282D"/>
                <w:sz w:val="19"/>
                <w:szCs w:val="19"/>
              </w:rPr>
              <w:t xml:space="preserve">Founder's Handbook</w:t>
            </w:r>
          </w:p>
          <w:p>
            <w:pPr>
              <w:spacing w:after="0" w:line="270"/>
            </w:pPr>
            <w:r>
              <w:rPr>
                <w:rFonts w:ascii="Calibri" w:cs="Calibri" w:eastAsia="Calibri" w:hAnsi="Calibri"/>
                <w:b w:val="false"/>
                <w:bCs w:val="false"/>
                <w:color w:val="23282D"/>
                <w:sz w:val="19"/>
                <w:szCs w:val="19"/>
              </w:rPr>
              <w:t xml:space="preserve">FAQ</w:t>
            </w:r>
          </w:p>
        </w:tc>
        <w:tc>
          <w:tcPr>
            <w:tcW w:type="dxa" w:w="234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 the Fund</w:t>
            </w:r>
          </w:p>
          <w:p>
            <w:pPr>
              <w:spacing w:after="0" w:line="270"/>
            </w:pPr>
            <w:r>
              <w:rPr>
                <w:rFonts w:ascii="Calibri" w:cs="Calibri" w:eastAsia="Calibri" w:hAnsi="Calibri"/>
                <w:b w:val="false"/>
                <w:bCs w:val="false"/>
                <w:color w:val="23282D"/>
                <w:sz w:val="19"/>
                <w:szCs w:val="19"/>
              </w:rPr>
              <w:t xml:space="preserve">Team</w:t>
            </w:r>
          </w:p>
          <w:p>
            <w:pPr>
              <w:spacing w:after="0" w:line="270"/>
            </w:pPr>
            <w:r>
              <w:rPr>
                <w:rFonts w:ascii="Calibri" w:cs="Calibri" w:eastAsia="Calibri" w:hAnsi="Calibri"/>
                <w:b w:val="false"/>
                <w:bCs w:val="false"/>
                <w:color w:val="23282D"/>
                <w:sz w:val="19"/>
                <w:szCs w:val="19"/>
              </w:rPr>
              <w:t xml:space="preserve">Governance</w:t>
            </w:r>
          </w:p>
          <w:p>
            <w:pPr>
              <w:spacing w:after="0" w:line="270"/>
            </w:pPr>
            <w:r>
              <w:rPr>
                <w:rFonts w:ascii="Calibri" w:cs="Calibri" w:eastAsia="Calibri" w:hAnsi="Calibri"/>
                <w:b w:val="false"/>
                <w:bCs w:val="false"/>
                <w:color w:val="23282D"/>
                <w:sz w:val="19"/>
                <w:szCs w:val="19"/>
              </w:rPr>
              <w:t xml:space="preserve">Careers</w:t>
            </w:r>
          </w:p>
          <w:p>
            <w:pPr>
              <w:spacing w:after="0" w:line="270"/>
            </w:pPr>
            <w:r>
              <w:rPr>
                <w:rFonts w:ascii="Calibri" w:cs="Calibri" w:eastAsia="Calibri" w:hAnsi="Calibri"/>
                <w:b w:val="false"/>
                <w:bCs w:val="false"/>
                <w:color w:val="23282D"/>
                <w:sz w:val="19"/>
                <w:szCs w:val="19"/>
              </w:rPr>
              <w:t xml:space="preserve">Contact</w:t>
            </w:r>
          </w:p>
        </w:tc>
        <w:tc>
          <w:tcPr>
            <w:tcW w:type="dxa" w:w="234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LinkedIn</w:t>
            </w:r>
          </w:p>
          <w:p>
            <w:pPr>
              <w:spacing w:after="0" w:line="270"/>
            </w:pPr>
            <w:r>
              <w:rPr>
                <w:rFonts w:ascii="Calibri" w:cs="Calibri" w:eastAsia="Calibri" w:hAnsi="Calibri"/>
                <w:b w:val="false"/>
                <w:bCs w:val="false"/>
                <w:color w:val="23282D"/>
                <w:sz w:val="19"/>
                <w:szCs w:val="19"/>
              </w:rPr>
              <w:t xml:space="preserve">X</w:t>
            </w:r>
          </w:p>
          <w:p>
            <w:pPr>
              <w:spacing w:after="0" w:line="270"/>
            </w:pPr>
            <w:r>
              <w:rPr>
                <w:rFonts w:ascii="Calibri" w:cs="Calibri" w:eastAsia="Calibri" w:hAnsi="Calibri"/>
                <w:b w:val="false"/>
                <w:bCs w:val="false"/>
                <w:color w:val="23282D"/>
                <w:sz w:val="19"/>
                <w:szCs w:val="19"/>
              </w:rPr>
              <w:t xml:space="preserve">YouTube</w:t>
            </w:r>
          </w:p>
          <w:p>
            <w:pPr>
              <w:spacing w:after="0" w:line="270"/>
            </w:pPr>
            <w:r>
              <w:rPr>
                <w:rFonts w:ascii="Calibri" w:cs="Calibri" w:eastAsia="Calibri" w:hAnsi="Calibri"/>
                <w:b w:val="false"/>
                <w:bCs w:val="false"/>
                <w:color w:val="23282D"/>
                <w:sz w:val="19"/>
                <w:szCs w:val="19"/>
              </w:rPr>
              <w:t xml:space="preserve">Newsletter signup</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6.2  Mandatory legal band</w:t>
      </w:r>
    </w:p>
    <w:p>
      <w:pPr>
        <w:spacing w:after="140" w:line="290"/>
      </w:pPr>
      <w:r>
        <w:rPr>
          <w:rFonts w:ascii="Calibri" w:cs="Calibri" w:eastAsia="Calibri" w:hAnsi="Calibri"/>
          <w:b w:val="false"/>
          <w:bCs w:val="false"/>
          <w:i w:val="false"/>
          <w:iCs w:val="false"/>
          <w:color w:val="23282D"/>
          <w:sz w:val="21"/>
          <w:szCs w:val="21"/>
        </w:rPr>
        <w:t xml:space="preserve">Sits below the footer columns on every page. Final wording is for counsel; this draft establishes scope and length so the design can accommodate it. Note that it is long — that is not a drafting failure, it is the price of a public page for a private-placement vehicle.</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DRAFT LEGAL BAND — SUBJECT TO COUNSEL APPROVAL</w:t>
            </w:r>
          </w:p>
          <w:p>
            <w:pPr>
              <w:spacing w:after="120" w:line="290"/>
            </w:pPr>
            <w:r>
              <w:rPr>
                <w:rFonts w:ascii="Calibri" w:cs="Calibri" w:eastAsia="Calibri" w:hAnsi="Calibri"/>
                <w:color w:val="23282D"/>
                <w:sz w:val="21"/>
                <w:szCs w:val="21"/>
              </w:rPr>
              <w:t xml:space="preserve">Y-Point Venture Capital Fund-I is a scheme of Y-Point Venture Capital Trust, a Category II Alternative Investment Fund registered with the Securities and Exchange Board of India under registration number IN/AIF2/25-26/1937. The Fund is managed by Y-Point Investment Advisors Private Limited. Vistra ITCL (India) Limited acts as trustee.</w:t>
            </w:r>
          </w:p>
          <w:p>
            <w:pPr>
              <w:spacing w:after="120" w:line="290"/>
            </w:pPr>
            <w:r>
              <w:rPr>
                <w:rFonts w:ascii="Calibri" w:cs="Calibri" w:eastAsia="Calibri" w:hAnsi="Calibri"/>
                <w:color w:val="23282D"/>
                <w:sz w:val="21"/>
                <w:szCs w:val="21"/>
              </w:rPr>
              <w:t xml:space="preserve">Nothing on this website constitutes an offer to sell, or a solicitation of an offer to buy, any securities or units of the Fund. Units are offered solely to eligible investors by way of a private placement memorandum and related fund documents, and only in jurisdictions where such an offer is lawful. Any offer or solicitation will be made exclusively on the terms of those documents.</w:t>
            </w:r>
          </w:p>
          <w:p>
            <w:pPr>
              <w:spacing w:after="120" w:line="290"/>
            </w:pPr>
            <w:r>
              <w:rPr>
                <w:rFonts w:ascii="Calibri" w:cs="Calibri" w:eastAsia="Calibri" w:hAnsi="Calibri"/>
                <w:color w:val="23282D"/>
                <w:sz w:val="21"/>
                <w:szCs w:val="21"/>
              </w:rPr>
              <w:t xml:space="preserve">Any companies named or described on this website are not representative of all investments made by the Fund. Companies described as part of the SINE incubation portfolio are not investments of Y-Point Venture Capital Fund-I. No assurance can be given that any investment will be profitable or that future investments will share similar characteristics or outcomes. Companies are listed with their consent; investments that have not been publicly announced, or for which consent has not been given, are excluded.</w:t>
            </w:r>
          </w:p>
          <w:p>
            <w:pPr>
              <w:spacing w:after="120" w:line="290"/>
            </w:pPr>
            <w:r>
              <w:rPr>
                <w:rFonts w:ascii="Calibri" w:cs="Calibri" w:eastAsia="Calibri" w:hAnsi="Calibri"/>
                <w:color w:val="23282D"/>
                <w:sz w:val="21"/>
                <w:szCs w:val="21"/>
              </w:rPr>
              <w:t xml:space="preserve">Investments in alternative investment funds are subject to market and other risks, including the risk of total loss of capital. Investors are not offered any guaranteed or assured returns. Past performance is not indicative of future results. Prospective investors should read all fund documents carefully and seek independent professional advice.</w:t>
            </w:r>
          </w:p>
          <w:p>
            <w:pPr>
              <w:spacing w:after="0" w:line="290"/>
            </w:pPr>
            <w:r>
              <w:rPr>
                <w:rFonts w:ascii="Calibri" w:cs="Calibri" w:eastAsia="Calibri" w:hAnsi="Calibri"/>
                <w:color w:val="23282D"/>
                <w:sz w:val="21"/>
                <w:szCs w:val="21"/>
              </w:rPr>
              <w:t xml:space="preserve">© 2026 Y-Point Venture Capital Fund. All rights reserved.   Terms of Use · Privacy Policy · Disclosures</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6.3  Page metadata</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900"/>
        <w:gridCol w:w="3200"/>
        <w:gridCol w:w="4260"/>
      </w:tblGrid>
      <w:tr>
        <w:trPr>
          <w:tblHeader/>
        </w:trPr>
        <w:tc>
          <w:tcPr>
            <w:tcW w:type="dxa" w:w="19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Page</w:t>
            </w:r>
          </w:p>
        </w:tc>
        <w:tc>
          <w:tcPr>
            <w:tcW w:type="dxa" w:w="32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Title tag</w:t>
            </w:r>
          </w:p>
        </w:tc>
        <w:tc>
          <w:tcPr>
            <w:tcW w:type="dxa" w:w="42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Meta description (≤155 characters)</w:t>
            </w:r>
          </w:p>
        </w:tc>
      </w:tr>
      <w:tr>
        <w:trPr>
          <w:cantSplit/>
        </w:trPr>
        <w:tc>
          <w:tcPr>
            <w:tcW w:type="dxa" w:w="1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w:t>
            </w:r>
          </w:p>
        </w:tc>
        <w:tc>
          <w:tcPr>
            <w:tcW w:type="dxa" w:w="3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VC | India's Institute-Linked Deep Tech Fund</w:t>
            </w:r>
          </w:p>
        </w:tc>
        <w:tc>
          <w:tcPr>
            <w:tcW w:type="dxa" w:w="4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invests pre-seed and seed capital in deep tech ventures from IIT Bombay and India's leading research institutions. Backed by SINE.</w:t>
            </w:r>
          </w:p>
        </w:tc>
      </w:tr>
      <w:tr>
        <w:trPr>
          <w:cantSplit/>
        </w:trPr>
        <w:tc>
          <w:tcPr>
            <w:tcW w:type="dxa" w:w="1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 hub</w:t>
            </w:r>
          </w:p>
        </w:tc>
        <w:tc>
          <w:tcPr>
            <w:tcW w:type="dxa" w:w="3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 | Y-Point VC</w:t>
            </w:r>
          </w:p>
        </w:tc>
        <w:tc>
          <w:tcPr>
            <w:tcW w:type="dxa" w:w="4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Where we invest: AI and advanced computing, manufacturing and semiconductor, materials, space and defence, climate, and life sciences.</w:t>
            </w:r>
          </w:p>
        </w:tc>
      </w:tr>
      <w:tr>
        <w:trPr>
          <w:cantSplit/>
        </w:trPr>
        <w:tc>
          <w:tcPr>
            <w:tcW w:type="dxa" w:w="1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Platform</w:t>
            </w:r>
          </w:p>
        </w:tc>
        <w:tc>
          <w:tcPr>
            <w:tcW w:type="dxa" w:w="3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Y-Point Edge | Y-Point VC</w:t>
            </w:r>
          </w:p>
        </w:tc>
        <w:tc>
          <w:tcPr>
            <w:tcW w:type="dxa" w:w="4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deep tech founders get beyond capital: SINE's de-risking infrastructure, diligence that reads a prototype, and non-dilutive capital strategy.</w:t>
            </w:r>
          </w:p>
        </w:tc>
      </w:tr>
      <w:tr>
        <w:trPr>
          <w:cantSplit/>
        </w:trPr>
        <w:tc>
          <w:tcPr>
            <w:tcW w:type="dxa" w:w="1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Lab to Market</w:t>
            </w:r>
          </w:p>
        </w:tc>
        <w:tc>
          <w:tcPr>
            <w:tcW w:type="dxa" w:w="3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Lab to Market | Y-Point VC</w:t>
            </w:r>
          </w:p>
        </w:tc>
        <w:tc>
          <w:tcPr>
            <w:tcW w:type="dxa" w:w="4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practical map of the journey from TRL 1 to a shipping product, and which kind of capital fits at each stage.</w:t>
            </w:r>
          </w:p>
        </w:tc>
      </w:tr>
      <w:tr>
        <w:trPr>
          <w:cantSplit/>
        </w:trPr>
        <w:tc>
          <w:tcPr>
            <w:tcW w:type="dxa" w:w="1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w:t>
            </w:r>
          </w:p>
        </w:tc>
        <w:tc>
          <w:tcPr>
            <w:tcW w:type="dxa" w:w="3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 Y-Point VC</w:t>
            </w:r>
          </w:p>
        </w:tc>
        <w:tc>
          <w:tcPr>
            <w:tcW w:type="dxa" w:w="4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deep tech companies we back, from semiconductors to space.</w:t>
            </w:r>
          </w:p>
        </w:tc>
      </w:tr>
      <w:tr>
        <w:trPr>
          <w:cantSplit/>
        </w:trPr>
        <w:tc>
          <w:tcPr>
            <w:tcW w:type="dxa" w:w="1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w:t>
            </w:r>
          </w:p>
        </w:tc>
        <w:tc>
          <w:tcPr>
            <w:tcW w:type="dxa" w:w="3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 for Funding | Y-Point VC</w:t>
            </w:r>
          </w:p>
        </w:tc>
        <w:tc>
          <w:tcPr>
            <w:tcW w:type="dxa" w:w="4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Building a deep tech company out of Indian research? Here is our bar, our process and our timelines.</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7  Homepage — full copy</w:t>
      </w:r>
    </w:p>
    <w:p>
      <w:pPr>
        <w:spacing w:after="140" w:line="290"/>
      </w:pPr>
      <w:r>
        <w:rPr>
          <w:rFonts w:ascii="Calibri" w:cs="Calibri" w:eastAsia="Calibri" w:hAnsi="Calibri"/>
          <w:b w:val="false"/>
          <w:bCs w:val="false"/>
          <w:i w:val="false"/>
          <w:iCs w:val="false"/>
          <w:color w:val="23282D"/>
          <w:sz w:val="21"/>
          <w:szCs w:val="21"/>
        </w:rPr>
        <w:t xml:space="preserve">Ten sections. The sequence asserts the category, proves the infrastructure, defends the thesis, shows breadth, differentiates, then converts. A visitor who reads only the first three screens should already know what Y-Point is and whether it is relevant to them.</w:t>
      </w:r>
    </w:p>
    <w:p>
      <w:pPr>
        <w:pStyle w:val="Heading2"/>
        <w:spacing w:after="140" w:before="320"/>
      </w:pPr>
      <w:r>
        <w:rPr>
          <w:rFonts w:ascii="Calibri" w:cs="Calibri" w:eastAsia="Calibri" w:hAnsi="Calibri"/>
          <w:b/>
          <w:bCs/>
          <w:color w:val="14304A"/>
          <w:sz w:val="26"/>
          <w:szCs w:val="26"/>
        </w:rPr>
        <w:t xml:space="preserve">7.1  Hero</w:t>
      </w:r>
    </w:p>
    <w:p>
      <w:pPr>
        <w:spacing w:after="140" w:line="290"/>
      </w:pPr>
      <w:r>
        <w:rPr>
          <w:rFonts w:ascii="Calibri" w:cs="Calibri" w:eastAsia="Calibri" w:hAnsi="Calibri"/>
          <w:b w:val="false"/>
          <w:bCs w:val="false"/>
          <w:i/>
          <w:iCs/>
          <w:color w:val="5A6472"/>
          <w:sz w:val="19"/>
          <w:szCs w:val="19"/>
        </w:rPr>
        <w:t xml:space="preserve">Rotating headline over a full-bleed background — a16z's American Dynamism pattern. The device buys credibility across six verticals on day one, before there is a portfolio to prove it, which is precisely Y-Point's position.</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ROTATING HEADLINE SEQUENCE</w:t>
            </w:r>
          </w:p>
          <w:p>
            <w:pPr>
              <w:spacing w:after="120" w:line="290"/>
            </w:pPr>
            <w:r>
              <w:rPr>
                <w:rFonts w:ascii="Calibri" w:cs="Calibri" w:eastAsia="Calibri" w:hAnsi="Calibri"/>
                <w:color w:val="23282D"/>
                <w:sz w:val="21"/>
                <w:szCs w:val="21"/>
              </w:rPr>
              <w:t xml:space="preserve">INVESTING IN THE FUTURE OF SILICON</w:t>
            </w:r>
          </w:p>
          <w:p>
            <w:pPr>
              <w:spacing w:after="120" w:line="290"/>
            </w:pPr>
            <w:r>
              <w:rPr>
                <w:rFonts w:ascii="Calibri" w:cs="Calibri" w:eastAsia="Calibri" w:hAnsi="Calibri"/>
                <w:color w:val="23282D"/>
                <w:sz w:val="21"/>
                <w:szCs w:val="21"/>
              </w:rPr>
              <w:t xml:space="preserve">INVESTING IN THE FUTURE OF THE FACTORY FLOOR</w:t>
            </w:r>
          </w:p>
          <w:p>
            <w:pPr>
              <w:spacing w:after="120" w:line="290"/>
            </w:pPr>
            <w:r>
              <w:rPr>
                <w:rFonts w:ascii="Calibri" w:cs="Calibri" w:eastAsia="Calibri" w:hAnsi="Calibri"/>
                <w:color w:val="23282D"/>
                <w:sz w:val="21"/>
                <w:szCs w:val="21"/>
              </w:rPr>
              <w:t xml:space="preserve">INVESTING IN THE FUTURE OF MATTER</w:t>
            </w:r>
          </w:p>
          <w:p>
            <w:pPr>
              <w:spacing w:after="120" w:line="290"/>
            </w:pPr>
            <w:r>
              <w:rPr>
                <w:rFonts w:ascii="Calibri" w:cs="Calibri" w:eastAsia="Calibri" w:hAnsi="Calibri"/>
                <w:color w:val="23282D"/>
                <w:sz w:val="21"/>
                <w:szCs w:val="21"/>
              </w:rPr>
              <w:t xml:space="preserve">INVESTING IN THE FUTURE OF ORBIT</w:t>
            </w:r>
          </w:p>
          <w:p>
            <w:pPr>
              <w:spacing w:after="120" w:line="290"/>
            </w:pPr>
            <w:r>
              <w:rPr>
                <w:rFonts w:ascii="Calibri" w:cs="Calibri" w:eastAsia="Calibri" w:hAnsi="Calibri"/>
                <w:color w:val="23282D"/>
                <w:sz w:val="21"/>
                <w:szCs w:val="21"/>
              </w:rPr>
              <w:t xml:space="preserve">INVESTING IN THE FUTURE OF ENERGY</w:t>
            </w:r>
          </w:p>
          <w:p>
            <w:pPr>
              <w:spacing w:after="0" w:line="290"/>
            </w:pPr>
            <w:r>
              <w:rPr>
                <w:rFonts w:ascii="Calibri" w:cs="Calibri" w:eastAsia="Calibri" w:hAnsi="Calibri"/>
                <w:color w:val="23282D"/>
                <w:sz w:val="21"/>
                <w:szCs w:val="21"/>
              </w:rPr>
              <w:t xml:space="preserve">INVESTING IN THE FUTURE OF MEDICINE</w:t>
            </w:r>
          </w:p>
        </w:tc>
      </w:tr>
    </w:tbl>
    <w:p>
      <w:pPr>
        <w:spacing w:after="14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STANDING SUBLINE</w:t>
            </w:r>
          </w:p>
          <w:p>
            <w:pPr>
              <w:spacing w:after="120" w:line="290"/>
            </w:pPr>
            <w:r>
              <w:rPr>
                <w:rFonts w:ascii="Calibri" w:cs="Calibri" w:eastAsia="Calibri" w:hAnsi="Calibri"/>
                <w:color w:val="23282D"/>
                <w:sz w:val="21"/>
                <w:szCs w:val="21"/>
              </w:rPr>
              <w:t xml:space="preserve">India's first institute-linked deep tech venture capital fund. We write the first institutional cheque into companies built on Indian research.</w:t>
            </w:r>
          </w:p>
          <w:p>
            <w:pPr>
              <w:spacing w:after="0" w:line="290"/>
            </w:pPr>
            <w:r>
              <w:rPr>
                <w:rFonts w:ascii="Calibri" w:cs="Calibri" w:eastAsia="Calibri" w:hAnsi="Calibri"/>
                <w:color w:val="23282D"/>
                <w:sz w:val="21"/>
                <w:szCs w:val="21"/>
              </w:rPr>
              <w:t xml:space="preserve">[ Apply for funding ]   [ How we work with founders ]</w:t>
            </w:r>
          </w:p>
        </w:tc>
      </w:tr>
    </w:tbl>
    <w:p>
      <w:pPr>
        <w:pStyle w:val="Heading2"/>
        <w:spacing w:after="140" w:before="320"/>
      </w:pPr>
      <w:r>
        <w:rPr>
          <w:rFonts w:ascii="Calibri" w:cs="Calibri" w:eastAsia="Calibri" w:hAnsi="Calibri"/>
          <w:b/>
          <w:bCs/>
          <w:color w:val="14304A"/>
          <w:sz w:val="26"/>
          <w:szCs w:val="26"/>
        </w:rPr>
        <w:t xml:space="preserve">7.2  Positioning paragraph</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Y-Point invests at the point where a technology stops being a research result and has to become a company.</w:t>
            </w:r>
          </w:p>
          <w:p>
            <w:pPr>
              <w:spacing w:after="120" w:line="290"/>
            </w:pPr>
            <w:r>
              <w:rPr>
                <w:rFonts w:ascii="Calibri" w:cs="Calibri" w:eastAsia="Calibri" w:hAnsi="Calibri"/>
                <w:color w:val="23282D"/>
                <w:sz w:val="21"/>
                <w:szCs w:val="21"/>
              </w:rPr>
              <w:t xml:space="preserve">We are the venture capital arm of SINE, the technology business incubator of IIT Bombay, and we write pre-seed and seed cheques into ventures emerging from IIT Bombay and India's other premier research institutions. By the time we invest, the science usually works. What remains is the harder, less celebrated problem: building a manufacturable product, finding a first customer willing to take a risk on an unproven supplier, and surviving the years in between.</w:t>
            </w:r>
          </w:p>
          <w:p>
            <w:pPr>
              <w:spacing w:after="0" w:line="290"/>
            </w:pPr>
            <w:r>
              <w:rPr>
                <w:rFonts w:ascii="Calibri" w:cs="Calibri" w:eastAsia="Calibri" w:hAnsi="Calibri"/>
                <w:color w:val="23282D"/>
                <w:sz w:val="21"/>
                <w:szCs w:val="21"/>
              </w:rPr>
              <w:t xml:space="preserve">That is the part we are built for.</w:t>
            </w:r>
          </w:p>
        </w:tc>
      </w:tr>
    </w:tbl>
    <w:p>
      <w:pPr>
        <w:pStyle w:val="Heading2"/>
        <w:spacing w:after="140" w:before="320"/>
      </w:pPr>
      <w:r>
        <w:rPr>
          <w:rFonts w:ascii="Calibri" w:cs="Calibri" w:eastAsia="Calibri" w:hAnsi="Calibri"/>
          <w:b/>
          <w:bCs/>
          <w:color w:val="14304A"/>
          <w:sz w:val="26"/>
          <w:szCs w:val="26"/>
        </w:rPr>
        <w:t xml:space="preserve">7.3  Proof strip</w:t>
      </w:r>
    </w:p>
    <w:p>
      <w:pPr>
        <w:spacing w:after="140" w:line="290"/>
      </w:pPr>
      <w:r>
        <w:rPr>
          <w:rFonts w:ascii="Calibri" w:cs="Calibri" w:eastAsia="Calibri" w:hAnsi="Calibri"/>
          <w:b w:val="false"/>
          <w:bCs w:val="false"/>
          <w:i/>
          <w:iCs/>
          <w:color w:val="5A6472"/>
          <w:sz w:val="19"/>
          <w:szCs w:val="19"/>
        </w:rPr>
        <w:t xml:space="preserve">Six figures across a single band, no prose. Every figure below is verified. The SINE numbers must be visually attributed to SINE — a small label under the band reading 'SINE, the technology business incubator of IIT Bombay, since 2004' is sufficient and is required by Section 4.4.</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560"/>
        <w:gridCol w:w="1560"/>
        <w:gridCol w:w="1560"/>
        <w:gridCol w:w="1560"/>
        <w:gridCol w:w="1560"/>
        <w:gridCol w:w="1560"/>
      </w:tblGrid>
      <w:tr>
        <w:trPr>
          <w:tblHeader/>
        </w:trPr>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₹250 Cr</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25–30</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₹3–5 Cr</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TRL 4–7</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532</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SEBI</w:t>
            </w:r>
          </w:p>
        </w:tc>
      </w:tr>
      <w:tr>
        <w:trPr>
          <w:cantSplit/>
        </w:trPr>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target fund size</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companies</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initial cheque</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where we enter</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startups supported by SINE since 2004</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Category II AIF</w:t>
            </w:r>
          </w:p>
        </w:tc>
      </w:tr>
    </w:tbl>
    <w:p>
      <w:pPr>
        <w:spacing w:after="140"/>
      </w:pPr>
      <w:r>
        <w:t xml:space="preserve"/>
      </w:r>
    </w:p>
    <w:p>
      <w:pPr>
        <w:spacing w:after="140" w:line="290"/>
      </w:pPr>
      <w:r>
        <w:rPr>
          <w:rFonts w:ascii="Calibri" w:cs="Calibri" w:eastAsia="Calibri" w:hAnsi="Calibri"/>
          <w:b w:val="false"/>
          <w:bCs w:val="false"/>
          <w:i/>
          <w:iCs/>
          <w:color w:val="5A6472"/>
          <w:sz w:val="19"/>
          <w:szCs w:val="19"/>
        </w:rPr>
        <w:t xml:space="preserve">Do not add the first-close figure, the deployed amount, or any return metric to this band. See Section 4.2.</w:t>
      </w:r>
    </w:p>
    <w:p>
      <w:pPr>
        <w:pStyle w:val="Heading2"/>
        <w:spacing w:after="140" w:before="320"/>
      </w:pPr>
      <w:r>
        <w:rPr>
          <w:rFonts w:ascii="Calibri" w:cs="Calibri" w:eastAsia="Calibri" w:hAnsi="Calibri"/>
          <w:b/>
          <w:bCs/>
          <w:color w:val="14304A"/>
          <w:sz w:val="26"/>
          <w:szCs w:val="26"/>
        </w:rPr>
        <w:t xml:space="preserve">7.4  Why now — the thesis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WHY NOW</w:t>
            </w:r>
          </w:p>
          <w:p>
            <w:pPr>
              <w:spacing w:after="120" w:line="290"/>
            </w:pPr>
            <w:r>
              <w:rPr>
                <w:rFonts w:ascii="Calibri" w:cs="Calibri" w:eastAsia="Calibri" w:hAnsi="Calibri"/>
                <w:color w:val="23282D"/>
                <w:sz w:val="21"/>
                <w:szCs w:val="21"/>
              </w:rPr>
              <w:t xml:space="preserve">India produces world-class research and world-class venture capital. Very little connects the two.</w:t>
            </w:r>
          </w:p>
          <w:p>
            <w:pPr>
              <w:spacing w:after="120" w:line="290"/>
            </w:pPr>
            <w:r>
              <w:rPr>
                <w:rFonts w:ascii="Calibri" w:cs="Calibri" w:eastAsia="Calibri" w:hAnsi="Calibri"/>
                <w:color w:val="23282D"/>
                <w:sz w:val="21"/>
                <w:szCs w:val="21"/>
              </w:rPr>
              <w:t xml:space="preserve">The country files patents, publishes papers and trains engineers at a scale few nations match. It also has a venture industry that has become genuinely expert at underwriting consumer adoption and software margins. Neither capability transfers to a team with a qualified prototype, a five-year path to meaningful revenue and a capital requirement that front-loads before the first customer exists.</w:t>
            </w:r>
          </w:p>
          <w:p>
            <w:pPr>
              <w:spacing w:after="120" w:line="290"/>
            </w:pPr>
            <w:r>
              <w:rPr>
                <w:rFonts w:ascii="Calibri" w:cs="Calibri" w:eastAsia="Calibri" w:hAnsi="Calibri"/>
                <w:color w:val="23282D"/>
                <w:sz w:val="21"/>
                <w:szCs w:val="21"/>
              </w:rPr>
              <w:t xml:space="preserve">The evidence is in the timelines. A deep tech company in India takes around 19 months to go from founding to seed, against 10 months for everything else — and another 20 months to reach Series A. That gap is not a measure of ambition. It is a measure of how few investors are equipped to say yes.</w:t>
            </w:r>
          </w:p>
          <w:p>
            <w:pPr>
              <w:spacing w:after="120" w:line="290"/>
            </w:pPr>
            <w:r>
              <w:rPr>
                <w:rFonts w:ascii="Calibri" w:cs="Calibri" w:eastAsia="Calibri" w:hAnsi="Calibri"/>
                <w:color w:val="23282D"/>
                <w:sz w:val="21"/>
                <w:szCs w:val="21"/>
              </w:rPr>
              <w:t xml:space="preserve">Most institutional capital arrives only after TRL 7, once both the science and the engineering risk have been retired by somebody else. We were built inside the institution that does that retiring — and we invest a full stage earlier because of it.</w:t>
            </w:r>
          </w:p>
          <w:p>
            <w:pPr>
              <w:spacing w:after="0" w:line="290"/>
            </w:pPr>
            <w:r>
              <w:rPr>
                <w:rFonts w:ascii="Calibri" w:cs="Calibri" w:eastAsia="Calibri" w:hAnsi="Calibri"/>
                <w:color w:val="23282D"/>
                <w:sz w:val="21"/>
                <w:szCs w:val="21"/>
              </w:rPr>
              <w:t xml:space="preserve">Source: Tracxn data and internal analysis.</w:t>
            </w:r>
          </w:p>
        </w:tc>
      </w:tr>
    </w:tbl>
    <w:p>
      <w:pPr>
        <w:pStyle w:val="Heading2"/>
        <w:spacing w:after="140" w:before="320"/>
      </w:pPr>
      <w:r>
        <w:rPr>
          <w:rFonts w:ascii="Calibri" w:cs="Calibri" w:eastAsia="Calibri" w:hAnsi="Calibri"/>
          <w:b/>
          <w:bCs/>
          <w:color w:val="14304A"/>
          <w:sz w:val="26"/>
          <w:szCs w:val="26"/>
        </w:rPr>
        <w:t xml:space="preserve">7.5  Focus areas grid</w:t>
      </w:r>
    </w:p>
    <w:p>
      <w:pPr>
        <w:spacing w:after="140" w:line="290"/>
      </w:pPr>
      <w:r>
        <w:rPr>
          <w:rFonts w:ascii="Calibri" w:cs="Calibri" w:eastAsia="Calibri" w:hAnsi="Calibri"/>
          <w:b w:val="false"/>
          <w:bCs w:val="false"/>
          <w:i/>
          <w:iCs/>
          <w:color w:val="5A6472"/>
          <w:sz w:val="19"/>
          <w:szCs w:val="19"/>
        </w:rPr>
        <w:t xml:space="preserve">Six tiles: icon, vertical name, single-line thesis. Links through to the full page.</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000"/>
        <w:gridCol w:w="6360"/>
      </w:tblGrid>
      <w:tr>
        <w:trPr>
          <w:tblHeader/>
        </w:trPr>
        <w:tc>
          <w:tcPr>
            <w:tcW w:type="dxa" w:w="3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Vertical</w:t>
            </w:r>
          </w:p>
        </w:tc>
        <w:tc>
          <w:tcPr>
            <w:tcW w:type="dxa" w:w="6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One-line thesis (tile copy)</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AI &amp; Advanced Computing</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Models are commoditising. The durable value is moving down the stack.</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Advanced Manufacturing &amp; Semiconductor</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India will not win manufacturing on labour cost. It will win on automation and on silicon.</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Next Gen Materials</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Every hard problem in energy, space and electronics is a materials problem wearing a disguise.</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Space &amp; Defence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Sovereign capability became a commercial market, and the procurement door is finally open.</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Climate &amp; CleanTech</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Decarbonising an industrialising economy is a different problem from decarbonising a rich one.</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Life Sciences</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Indian clinical scale and Indian engineering cost is an advantage nobody else can assemble.</w:t>
            </w:r>
          </w:p>
        </w:tc>
      </w:tr>
    </w:tbl>
    <w:p>
      <w:pPr>
        <w:pStyle w:val="Heading2"/>
        <w:spacing w:after="140" w:before="320"/>
      </w:pPr>
      <w:r>
        <w:rPr>
          <w:rFonts w:ascii="Calibri" w:cs="Calibri" w:eastAsia="Calibri" w:hAnsi="Calibri"/>
          <w:b/>
          <w:bCs/>
          <w:color w:val="14304A"/>
          <w:sz w:val="26"/>
          <w:szCs w:val="26"/>
        </w:rPr>
        <w:t xml:space="preserve">7.6  The Y-Point Edge — homepage teaser</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WHAT YOU GET BEYOND THE CHEQUE</w:t>
            </w:r>
          </w:p>
          <w:p>
            <w:pPr>
              <w:spacing w:after="120" w:line="290"/>
            </w:pPr>
            <w:r>
              <w:rPr>
                <w:rFonts w:ascii="Calibri" w:cs="Calibri" w:eastAsia="Calibri" w:hAnsi="Calibri"/>
                <w:color w:val="23282D"/>
                <w:sz w:val="21"/>
                <w:szCs w:val="21"/>
              </w:rPr>
              <w:t xml:space="preserve">01  An ecosystem that de-risks before we invest — SINE's grant ladder, labs and mentorship move a venture from TRL 3 to 7 before venture capital is the right instrument.</w:t>
            </w:r>
          </w:p>
          <w:p>
            <w:pPr>
              <w:spacing w:after="120" w:line="290"/>
            </w:pPr>
            <w:r>
              <w:rPr>
                <w:rFonts w:ascii="Calibri" w:cs="Calibri" w:eastAsia="Calibri" w:hAnsi="Calibri"/>
                <w:color w:val="23282D"/>
                <w:sz w:val="21"/>
                <w:szCs w:val="21"/>
              </w:rPr>
              <w:t xml:space="preserve">02  Diligence that reads a test report — independent expert validation of technology, IP, TRL and the IP landscape, run as a standard step.</w:t>
            </w:r>
          </w:p>
          <w:p>
            <w:pPr>
              <w:spacing w:after="120" w:line="290"/>
            </w:pPr>
            <w:r>
              <w:rPr>
                <w:rFonts w:ascii="Calibri" w:cs="Calibri" w:eastAsia="Calibri" w:hAnsi="Calibri"/>
                <w:color w:val="23282D"/>
                <w:sz w:val="21"/>
                <w:szCs w:val="21"/>
              </w:rPr>
              <w:t xml:space="preserve">03  An investment committee that has built this — ISRO, iDEX, AstraZeneca India, and two active venture general partners.</w:t>
            </w:r>
          </w:p>
          <w:p>
            <w:pPr>
              <w:spacing w:after="120" w:line="290"/>
            </w:pPr>
            <w:r>
              <w:rPr>
                <w:rFonts w:ascii="Calibri" w:cs="Calibri" w:eastAsia="Calibri" w:hAnsi="Calibri"/>
                <w:color w:val="23282D"/>
                <w:sz w:val="21"/>
                <w:szCs w:val="21"/>
              </w:rPr>
              <w:t xml:space="preserve">04  The first customer — IIT Bombay's industry relationships, public sector channels, 65,000+ alumni, and our co-investor network.</w:t>
            </w:r>
          </w:p>
          <w:p>
            <w:pPr>
              <w:spacing w:after="0" w:line="290"/>
            </w:pPr>
            <w:r>
              <w:rPr>
                <w:rFonts w:ascii="Calibri" w:cs="Calibri" w:eastAsia="Calibri" w:hAnsi="Calibri"/>
                <w:color w:val="23282D"/>
                <w:sz w:val="21"/>
                <w:szCs w:val="21"/>
              </w:rPr>
              <w:t xml:space="preserve">[ How we work with founders → ]</w:t>
            </w:r>
          </w:p>
        </w:tc>
      </w:tr>
    </w:tbl>
    <w:p>
      <w:pPr>
        <w:pStyle w:val="Heading2"/>
        <w:spacing w:after="140" w:before="320"/>
      </w:pPr>
      <w:r>
        <w:rPr>
          <w:rFonts w:ascii="Calibri" w:cs="Calibri" w:eastAsia="Calibri" w:hAnsi="Calibri"/>
          <w:b/>
          <w:bCs/>
          <w:color w:val="14304A"/>
          <w:sz w:val="26"/>
          <w:szCs w:val="26"/>
        </w:rPr>
        <w:t xml:space="preserve">7.7  Portfolio preview</w:t>
      </w:r>
    </w:p>
    <w:p>
      <w:pPr>
        <w:spacing w:after="140" w:line="290"/>
      </w:pPr>
      <w:r>
        <w:rPr>
          <w:rFonts w:ascii="Calibri" w:cs="Calibri" w:eastAsia="Calibri" w:hAnsi="Calibri"/>
          <w:b w:val="false"/>
          <w:bCs w:val="false"/>
          <w:i/>
          <w:iCs/>
          <w:color w:val="5A6472"/>
          <w:sz w:val="19"/>
          <w:szCs w:val="19"/>
        </w:rPr>
        <w:t xml:space="preserve">With one signed term sheet at the time of writing, a logo wall signals absence. Use a single feature block for the first announced investment, or omit this section entirely at launch and add it when three companies can be named. An empty portfolio section is worse than no portfolio section. Do not substitute SINE heritage companies here — that is precisely the confusion Section 4.4 prohibits.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SECTION HEADING, ONCE THERE IS A PORTFOLIO</w:t>
            </w:r>
          </w:p>
          <w:p>
            <w:pPr>
              <w:spacing w:after="120" w:line="290"/>
            </w:pPr>
            <w:r>
              <w:rPr>
                <w:rFonts w:ascii="Calibri" w:cs="Calibri" w:eastAsia="Calibri" w:hAnsi="Calibri"/>
                <w:color w:val="23282D"/>
                <w:sz w:val="21"/>
                <w:szCs w:val="21"/>
              </w:rPr>
              <w:t xml:space="preserve">COME SEE WHAT WE ARE BUILDING</w:t>
            </w:r>
          </w:p>
          <w:p>
            <w:pPr>
              <w:spacing w:after="0" w:line="290"/>
            </w:pPr>
            <w:r>
              <w:rPr>
                <w:rFonts w:ascii="Calibri" w:cs="Calibri" w:eastAsia="Calibri" w:hAnsi="Calibri"/>
                <w:color w:val="23282D"/>
                <w:sz w:val="21"/>
                <w:szCs w:val="21"/>
              </w:rPr>
              <w:t xml:space="preserve">[ See the full portfolio → ]</w:t>
            </w:r>
          </w:p>
        </w:tc>
      </w:tr>
    </w:tbl>
    <w:p>
      <w:pPr>
        <w:pStyle w:val="Heading2"/>
        <w:spacing w:after="140" w:before="320"/>
      </w:pPr>
      <w:r>
        <w:rPr>
          <w:rFonts w:ascii="Calibri" w:cs="Calibri" w:eastAsia="Calibri" w:hAnsi="Calibri"/>
          <w:b/>
          <w:bCs/>
          <w:color w:val="14304A"/>
          <w:sz w:val="26"/>
          <w:szCs w:val="26"/>
        </w:rPr>
        <w:t xml:space="preserve">7.8  Insights preview</w:t>
      </w:r>
    </w:p>
    <w:p>
      <w:pPr>
        <w:spacing w:after="140" w:line="290"/>
      </w:pPr>
      <w:r>
        <w:rPr>
          <w:rFonts w:ascii="Calibri" w:cs="Calibri" w:eastAsia="Calibri" w:hAnsi="Calibri"/>
          <w:b w:val="false"/>
          <w:bCs w:val="false"/>
          <w:i/>
          <w:iCs/>
          <w:color w:val="5A6472"/>
          <w:sz w:val="19"/>
          <w:szCs w:val="19"/>
        </w:rPr>
        <w:t xml:space="preserve">Three most recent items across all streams, each with category tag, title, author and date. Suppress the section until at least three pieces exist.</w:t>
      </w:r>
    </w:p>
    <w:p>
      <w:pPr>
        <w:pStyle w:val="Heading2"/>
        <w:spacing w:after="140" w:before="320"/>
      </w:pPr>
      <w:r>
        <w:rPr>
          <w:rFonts w:ascii="Calibri" w:cs="Calibri" w:eastAsia="Calibri" w:hAnsi="Calibri"/>
          <w:b/>
          <w:bCs/>
          <w:color w:val="14304A"/>
          <w:sz w:val="26"/>
          <w:szCs w:val="26"/>
        </w:rPr>
        <w:t xml:space="preserve">7.9  Dual conversion block</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 — TWO COLUMNS</w:t>
            </w:r>
          </w:p>
          <w:p>
            <w:pPr>
              <w:spacing w:after="120" w:line="290"/>
            </w:pPr>
            <w:r>
              <w:rPr>
                <w:rFonts w:ascii="Calibri" w:cs="Calibri" w:eastAsia="Calibri" w:hAnsi="Calibri"/>
                <w:color w:val="23282D"/>
                <w:sz w:val="21"/>
                <w:szCs w:val="21"/>
              </w:rPr>
              <w:t xml:space="preserve">LEFT — FOR FOUNDERS</w:t>
            </w:r>
          </w:p>
          <w:p>
            <w:pPr>
              <w:spacing w:after="120" w:line="290"/>
            </w:pPr>
            <w:r>
              <w:rPr>
                <w:rFonts w:ascii="Calibri" w:cs="Calibri" w:eastAsia="Calibri" w:hAnsi="Calibri"/>
                <w:color w:val="23282D"/>
                <w:sz w:val="21"/>
                <w:szCs w:val="21"/>
              </w:rPr>
              <w:t xml:space="preserve">Building something hard?</w:t>
            </w:r>
          </w:p>
          <w:p>
            <w:pPr>
              <w:spacing w:after="120" w:line="290"/>
            </w:pPr>
            <w:r>
              <w:rPr>
                <w:rFonts w:ascii="Calibri" w:cs="Calibri" w:eastAsia="Calibri" w:hAnsi="Calibri"/>
                <w:color w:val="23282D"/>
                <w:sz w:val="21"/>
                <w:szCs w:val="21"/>
              </w:rPr>
              <w:t xml:space="preserve">Tell us what you are working on. We read everything, and we answer — including when the answer is no.</w:t>
            </w:r>
          </w:p>
          <w:p>
            <w:pPr>
              <w:spacing w:after="120" w:line="290"/>
            </w:pPr>
            <w:r>
              <w:rPr>
                <w:rFonts w:ascii="Calibri" w:cs="Calibri" w:eastAsia="Calibri" w:hAnsi="Calibri"/>
                <w:color w:val="23282D"/>
                <w:sz w:val="21"/>
                <w:szCs w:val="21"/>
              </w:rPr>
              <w:t xml:space="preserve">[ Apply for funding ]</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RIGHT — FOR INSTITUTIONS AND PARTNERS</w:t>
            </w:r>
          </w:p>
          <w:p>
            <w:pPr>
              <w:spacing w:after="120" w:line="290"/>
            </w:pPr>
            <w:r>
              <w:rPr>
                <w:rFonts w:ascii="Calibri" w:cs="Calibri" w:eastAsia="Calibri" w:hAnsi="Calibri"/>
                <w:color w:val="23282D"/>
                <w:sz w:val="21"/>
                <w:szCs w:val="21"/>
              </w:rPr>
              <w:t xml:space="preserve">Interested in India's deep tech decade?</w:t>
            </w:r>
          </w:p>
          <w:p>
            <w:pPr>
              <w:spacing w:after="120" w:line="290"/>
            </w:pPr>
            <w:r>
              <w:rPr>
                <w:rFonts w:ascii="Calibri" w:cs="Calibri" w:eastAsia="Calibri" w:hAnsi="Calibri"/>
                <w:color w:val="23282D"/>
                <w:sz w:val="21"/>
                <w:szCs w:val="21"/>
              </w:rPr>
              <w:t xml:space="preserve">We work with institutions, corporates and co-investors who want considered exposure to research-led ventures.</w:t>
            </w:r>
          </w:p>
          <w:p>
            <w:pPr>
              <w:spacing w:after="0" w:line="290"/>
            </w:pPr>
            <w:r>
              <w:rPr>
                <w:rFonts w:ascii="Calibri" w:cs="Calibri" w:eastAsia="Calibri" w:hAnsi="Calibri"/>
                <w:color w:val="23282D"/>
                <w:sz w:val="21"/>
                <w:szCs w:val="21"/>
              </w:rPr>
              <w:t xml:space="preserve">[ Start a conversation ]</w:t>
            </w:r>
          </w:p>
        </w:tc>
      </w:tr>
    </w:tbl>
    <w:p>
      <w:pPr>
        <w:spacing w:after="140"/>
      </w:pPr>
      <w:r>
        <w:t xml:space="preserve"/>
      </w:r>
    </w:p>
    <w:p>
      <w:pPr>
        <w:spacing w:after="140" w:line="290"/>
      </w:pPr>
      <w:r>
        <w:rPr>
          <w:rFonts w:ascii="Calibri" w:cs="Calibri" w:eastAsia="Calibri" w:hAnsi="Calibri"/>
          <w:b w:val="false"/>
          <w:bCs w:val="false"/>
          <w:i/>
          <w:iCs/>
          <w:color w:val="5A6472"/>
          <w:sz w:val="19"/>
          <w:szCs w:val="19"/>
        </w:rPr>
        <w:t xml:space="preserve">The right-hand column deliberately invites a conversation and offers nothing. Counsel must approve this wording — it is the homepage's only point of contact with the solicitation question.</w:t>
      </w:r>
    </w:p>
    <w:p>
      <w:pPr>
        <w:pStyle w:val="Heading2"/>
        <w:spacing w:after="140" w:before="320"/>
      </w:pPr>
      <w:r>
        <w:rPr>
          <w:rFonts w:ascii="Calibri" w:cs="Calibri" w:eastAsia="Calibri" w:hAnsi="Calibri"/>
          <w:b/>
          <w:bCs/>
          <w:color w:val="14304A"/>
          <w:sz w:val="26"/>
          <w:szCs w:val="26"/>
        </w:rPr>
        <w:t xml:space="preserve">7.10  Newsletter</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SIGNAL FROM THE LAB</w:t>
            </w:r>
          </w:p>
          <w:p>
            <w:pPr>
              <w:spacing w:after="120" w:line="290"/>
            </w:pPr>
            <w:r>
              <w:rPr>
                <w:rFonts w:ascii="Calibri" w:cs="Calibri" w:eastAsia="Calibri" w:hAnsi="Calibri"/>
                <w:color w:val="23282D"/>
                <w:sz w:val="21"/>
                <w:szCs w:val="21"/>
              </w:rPr>
              <w:t xml:space="preserve">A monthly note on Indian deep tech: what we are seeing in the pipeline, what we are reading, and what founders keep getting wrong. No hype, no fund marketing.</w:t>
            </w:r>
          </w:p>
          <w:p>
            <w:pPr>
              <w:spacing w:after="0" w:line="290"/>
            </w:pPr>
            <w:r>
              <w:rPr>
                <w:rFonts w:ascii="Calibri" w:cs="Calibri" w:eastAsia="Calibri" w:hAnsi="Calibri"/>
                <w:color w:val="23282D"/>
                <w:sz w:val="21"/>
                <w:szCs w:val="21"/>
              </w:rPr>
              <w:t xml:space="preserve">[ email address ]  [ Subscribe ]</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8  Focus Areas — hub page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WHERE WE INVEST</w:t>
            </w:r>
          </w:p>
          <w:p>
            <w:pPr>
              <w:spacing w:after="120" w:line="290"/>
            </w:pPr>
            <w:r>
              <w:rPr>
                <w:rFonts w:ascii="Calibri" w:cs="Calibri" w:eastAsia="Calibri" w:hAnsi="Calibri"/>
                <w:color w:val="23282D"/>
                <w:sz w:val="21"/>
                <w:szCs w:val="21"/>
              </w:rPr>
              <w:t xml:space="preserve">Six sectors. One common condition: the hard part is the technology, and it has been proven but not yet productised.</w:t>
            </w:r>
          </w:p>
          <w:p>
            <w:pPr>
              <w:spacing w:after="120" w:line="290"/>
            </w:pPr>
            <w:r>
              <w:rPr>
                <w:rFonts w:ascii="Calibri" w:cs="Calibri" w:eastAsia="Calibri" w:hAnsi="Calibri"/>
                <w:color w:val="23282D"/>
                <w:sz w:val="21"/>
                <w:szCs w:val="21"/>
              </w:rPr>
              <w:t xml:space="preserve">We organise around domains rather than business models, because deep tech companies rarely fit a model at the point we meet them. A team with a novel material may end up selling a component, a licence or a finished system, and which of those it becomes is often the most consequential decision of the first three years. We want to be in the room for it, which means we need to understand the material.</w:t>
            </w:r>
          </w:p>
          <w:p>
            <w:pPr>
              <w:spacing w:after="120" w:line="290"/>
            </w:pPr>
            <w:r>
              <w:rPr>
                <w:rFonts w:ascii="Calibri" w:cs="Calibri" w:eastAsia="Calibri" w:hAnsi="Calibri"/>
                <w:color w:val="23282D"/>
                <w:sz w:val="21"/>
                <w:szCs w:val="21"/>
              </w:rPr>
              <w:t xml:space="preserve">Each page states what we believe about the sector, what we are actively looking for, and the bar a company needs to clear. We have also written down what gets a fast no. We would rather lose a meeting than waste a founder's month.</w:t>
            </w:r>
          </w:p>
          <w:p>
            <w:pPr>
              <w:spacing w:after="0" w:line="290"/>
            </w:pPr>
            <w:r>
              <w:rPr>
                <w:rFonts w:ascii="Calibri" w:cs="Calibri" w:eastAsia="Calibri" w:hAnsi="Calibri"/>
                <w:color w:val="23282D"/>
                <w:sz w:val="21"/>
                <w:szCs w:val="21"/>
              </w:rPr>
              <w:t xml:space="preserve">No single sector will exceed roughly a fifth of the portfolio. We are building a concentrated fund, not an index.</w:t>
            </w:r>
          </w:p>
        </w:tc>
      </w:tr>
    </w:tbl>
    <w:p>
      <w:pPr>
        <w:spacing w:after="160"/>
      </w:pPr>
      <w:r>
        <w:t xml:space="preserve"/>
      </w:r>
    </w:p>
    <w:p>
      <w:pPr>
        <w:spacing w:after="140" w:line="290"/>
      </w:pPr>
      <w:r>
        <w:rPr>
          <w:rFonts w:ascii="Calibri" w:cs="Calibri" w:eastAsia="Calibri" w:hAnsi="Calibri"/>
          <w:b w:val="false"/>
          <w:bCs w:val="false"/>
          <w:i/>
          <w:iCs/>
          <w:color w:val="5A6472"/>
          <w:sz w:val="19"/>
          <w:szCs w:val="19"/>
        </w:rPr>
        <w:t xml:space="preserve">Six tiles below, as on the homepage but with a two-line description each. No portfolio or content on this page — its only job is routing.</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9  Focus Areas — the six vertical pages</w:t>
      </w:r>
    </w:p>
    <w:p>
      <w:pPr>
        <w:spacing w:after="140" w:line="290"/>
      </w:pPr>
      <w:r>
        <w:rPr>
          <w:rFonts w:ascii="Calibri" w:cs="Calibri" w:eastAsia="Calibri" w:hAnsi="Calibri"/>
          <w:b w:val="false"/>
          <w:bCs w:val="false"/>
          <w:i w:val="false"/>
          <w:iCs w:val="false"/>
          <w:color w:val="23282D"/>
          <w:sz w:val="21"/>
          <w:szCs w:val="21"/>
        </w:rPr>
        <w:t xml:space="preserve">Each page uses an identical eight-block structure, so it is build-once and populate-six-times: hero, what we believe, where we are looking, what a fundable company looks like, what gets a fast no, Y-Point portfolio in this vertical, content in this vertical, and the team covering it.</w:t>
      </w:r>
    </w:p>
    <w:p>
      <w:pPr>
        <w:spacing w:after="140" w:line="290"/>
      </w:pPr>
      <w:r>
        <w:rPr>
          <w:rFonts w:ascii="Calibri" w:cs="Calibri" w:eastAsia="Calibri" w:hAnsi="Calibri"/>
          <w:b w:val="false"/>
          <w:bCs w:val="false"/>
          <w:i w:val="false"/>
          <w:iCs w:val="false"/>
          <w:color w:val="23282D"/>
          <w:sz w:val="21"/>
          <w:szCs w:val="21"/>
        </w:rPr>
        <w:t xml:space="preserve">The sub-sector lists below are taken from the Fund's own stated focus areas. The surrounding argument, the bar and the fast-no block are new copy written to those focus areas.</w:t>
      </w:r>
    </w:p>
    <w:p>
      <w:pPr>
        <w:spacing w:after="160"/>
      </w:pPr>
      <w:r>
        <w:t xml:space="preserve"/>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WHY THE FAST-NO BLOCK MATTERS</w:t>
            </w:r>
          </w:p>
          <w:p>
            <w:pPr>
              <w:spacing w:after="120" w:line="290"/>
            </w:pPr>
            <w:r>
              <w:rPr>
                <w:rFonts w:ascii="Calibri" w:cs="Calibri" w:eastAsia="Calibri" w:hAnsi="Calibri"/>
                <w:color w:val="23282D"/>
                <w:sz w:val="21"/>
                <w:szCs w:val="21"/>
              </w:rPr>
              <w:t xml:space="preserve">Almost every Indian venture site says it backs bold founders solving hard problems. Nobody publishes the disqualifying conditions. Doing so achieves three things: it cuts unqualified inbound, which is the real cost of a public application form; it signals domain confidence, because only someone who knows a field can say what is not interesting in it; and it earns goodwill with founders who are spared a month of process.</w:t>
            </w:r>
          </w:p>
          <w:p>
            <w:pPr>
              <w:spacing w:after="0" w:line="290"/>
            </w:pPr>
            <w:r>
              <w:rPr>
                <w:rFonts w:ascii="Calibri" w:cs="Calibri" w:eastAsia="Calibri" w:hAnsi="Calibri"/>
                <w:color w:val="23282D"/>
                <w:sz w:val="21"/>
                <w:szCs w:val="21"/>
              </w:rPr>
              <w:t xml:space="preserve">It is also the block most likely to be softened in review. Resist that. A hedged fast-no block is worse than none, because it costs the same space and does no filtering.</w:t>
            </w:r>
          </w:p>
        </w:tc>
      </w:tr>
    </w:tbl>
    <w:p>
      <w:r>
        <w:br w:type="page"/>
      </w:r>
    </w:p>
    <w:p>
      <w:pPr>
        <w:pStyle w:val="Heading2"/>
        <w:spacing w:after="140" w:before="320"/>
      </w:pPr>
      <w:r>
        <w:rPr>
          <w:rFonts w:ascii="Calibri" w:cs="Calibri" w:eastAsia="Calibri" w:hAnsi="Calibri"/>
          <w:b/>
          <w:bCs/>
          <w:color w:val="14304A"/>
          <w:sz w:val="26"/>
          <w:szCs w:val="26"/>
        </w:rPr>
        <w:t xml:space="preserve">9.1  AI &amp; Advanced Computing</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SILICON</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The Indian AI opportunity is not another application layer. Models are commoditising faster than anyone forecast, and durable value is migrating down the stack — into infrastructure, optimisation, and the physics of how computation consumes power. India holds an under-exploited asset here: two decades of engineering talent trained inside global technology companies, now available to build for themselves.</w:t>
      </w:r>
    </w:p>
    <w:p>
      <w:pPr>
        <w:spacing w:after="140" w:line="290"/>
      </w:pPr>
      <w:r>
        <w:rPr>
          <w:rFonts w:ascii="Calibri" w:cs="Calibri" w:eastAsia="Calibri" w:hAnsi="Calibri"/>
          <w:b w:val="false"/>
          <w:bCs w:val="false"/>
          <w:i w:val="false"/>
          <w:iCs w:val="false"/>
          <w:color w:val="23282D"/>
          <w:sz w:val="21"/>
          <w:szCs w:val="21"/>
        </w:rPr>
        <w:t xml:space="preserve">We are interested in three things. Infrastructure and optimisation tooling that makes computation cheaper or possible where it was not. Domain-specific and Indic language models where the defensibility is proprietary data, regulatory position or workflow depth rather than the model itself. And the security layer — AI safety and cyber — where India has both a genuine research base and a sovereign buyer.</w:t>
      </w:r>
    </w:p>
    <w:p>
      <w:pPr>
        <w:spacing w:after="140" w:line="290"/>
      </w:pPr>
      <w:r>
        <w:rPr>
          <w:rFonts w:ascii="Calibri" w:cs="Calibri" w:eastAsia="Calibri" w:hAnsi="Calibri"/>
          <w:b w:val="false"/>
          <w:bCs w:val="false"/>
          <w:i w:val="false"/>
          <w:iCs w:val="false"/>
          <w:color w:val="23282D"/>
          <w:sz w:val="21"/>
          <w:szCs w:val="21"/>
        </w:rPr>
        <w:t xml:space="preserve">We are sceptical of anything whose defensibility rests on a prompt, a dataset that can be re-collected, or a distribution advantage in a market with no switching costs. We will say so in the first meeting rather than the fourth.</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Indic and domain-specific language models with proprietary data or workflow depth</w:t>
      </w:r>
    </w:p>
    <w:p>
      <w:pPr>
        <w:pStyle w:val="ListParagraph"/>
        <w:numPr>
          <w:ilvl w:val="0"/>
          <w:numId w:val="2"/>
        </w:numPr>
        <w:spacing w:after="80" w:line="285"/>
      </w:pPr>
      <w:r>
        <w:rPr>
          <w:rFonts w:ascii="Calibri" w:cs="Calibri" w:eastAsia="Calibri" w:hAnsi="Calibri"/>
          <w:color w:val="23282D"/>
          <w:sz w:val="21"/>
          <w:szCs w:val="21"/>
        </w:rPr>
        <w:t xml:space="preserve">AI infrastructure and optimisation tooling</w:t>
      </w:r>
    </w:p>
    <w:p>
      <w:pPr>
        <w:pStyle w:val="ListParagraph"/>
        <w:numPr>
          <w:ilvl w:val="0"/>
          <w:numId w:val="2"/>
        </w:numPr>
        <w:spacing w:after="80" w:line="285"/>
      </w:pPr>
      <w:r>
        <w:rPr>
          <w:rFonts w:ascii="Calibri" w:cs="Calibri" w:eastAsia="Calibri" w:hAnsi="Calibri"/>
          <w:color w:val="23282D"/>
          <w:sz w:val="21"/>
          <w:szCs w:val="21"/>
        </w:rPr>
        <w:t xml:space="preserve">AI safety, assurance and evaluation</w:t>
      </w:r>
    </w:p>
    <w:p>
      <w:pPr>
        <w:pStyle w:val="ListParagraph"/>
        <w:numPr>
          <w:ilvl w:val="0"/>
          <w:numId w:val="2"/>
        </w:numPr>
        <w:spacing w:after="80" w:line="285"/>
      </w:pPr>
      <w:r>
        <w:rPr>
          <w:rFonts w:ascii="Calibri" w:cs="Calibri" w:eastAsia="Calibri" w:hAnsi="Calibri"/>
          <w:color w:val="23282D"/>
          <w:sz w:val="21"/>
          <w:szCs w:val="21"/>
        </w:rPr>
        <w:t xml:space="preserve">Cyber security, including quantum-safe cryptography</w:t>
      </w:r>
    </w:p>
    <w:p>
      <w:pPr>
        <w:pStyle w:val="ListParagraph"/>
        <w:numPr>
          <w:ilvl w:val="0"/>
          <w:numId w:val="2"/>
        </w:numPr>
        <w:spacing w:after="80" w:line="285"/>
      </w:pPr>
      <w:r>
        <w:rPr>
          <w:rFonts w:ascii="Calibri" w:cs="Calibri" w:eastAsia="Calibri" w:hAnsi="Calibri"/>
          <w:color w:val="23282D"/>
          <w:sz w:val="21"/>
          <w:szCs w:val="21"/>
        </w:rPr>
        <w:t xml:space="preserve">Edge inference under hard power, thermal or latency constraints</w:t>
      </w:r>
    </w:p>
    <w:p>
      <w:pPr>
        <w:pStyle w:val="ListParagraph"/>
        <w:numPr>
          <w:ilvl w:val="0"/>
          <w:numId w:val="2"/>
        </w:numPr>
        <w:spacing w:after="80" w:line="285"/>
      </w:pPr>
      <w:r>
        <w:rPr>
          <w:rFonts w:ascii="Calibri" w:cs="Calibri" w:eastAsia="Calibri" w:hAnsi="Calibri"/>
          <w:color w:val="23282D"/>
          <w:sz w:val="21"/>
          <w:szCs w:val="21"/>
        </w:rPr>
        <w:t xml:space="preserve">AI applied to scientific discovery — materials, molecules, simulation</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A working system with users or a signed pilot, and a clear statement of what is proprietary: data, hardware, workflow lock-in or a regulatory position. Technical depth that a domain expert can interrogate — our diligence includes exactly that conversation. An honest account of what happens to the business when the underlying model layer gets ten times cheaper, because it will. A first revenue wedge that does not depend on winning an entire market.</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An application built on a third-party model with no proprietary data, hardware or workflow lock-in</w:t>
      </w:r>
    </w:p>
    <w:p>
      <w:pPr>
        <w:pStyle w:val="ListParagraph"/>
        <w:numPr>
          <w:ilvl w:val="0"/>
          <w:numId w:val="2"/>
        </w:numPr>
        <w:spacing w:after="80" w:line="285"/>
      </w:pPr>
      <w:r>
        <w:rPr>
          <w:rFonts w:ascii="Calibri" w:cs="Calibri" w:eastAsia="Calibri" w:hAnsi="Calibri"/>
          <w:color w:val="23282D"/>
          <w:sz w:val="21"/>
          <w:szCs w:val="21"/>
        </w:rPr>
        <w:t xml:space="preserve">"India's answer to [company]" offered as the whole strategic argument</w:t>
      </w:r>
    </w:p>
    <w:p>
      <w:pPr>
        <w:pStyle w:val="ListParagraph"/>
        <w:numPr>
          <w:ilvl w:val="0"/>
          <w:numId w:val="2"/>
        </w:numPr>
        <w:spacing w:after="80" w:line="285"/>
      </w:pPr>
      <w:r>
        <w:rPr>
          <w:rFonts w:ascii="Calibri" w:cs="Calibri" w:eastAsia="Calibri" w:hAnsi="Calibri"/>
          <w:color w:val="23282D"/>
          <w:sz w:val="21"/>
          <w:szCs w:val="21"/>
        </w:rPr>
        <w:t xml:space="preserve">A benchmark score with no customer behind it</w:t>
      </w:r>
    </w:p>
    <w:p>
      <w:pPr>
        <w:pStyle w:val="ListParagraph"/>
        <w:numPr>
          <w:ilvl w:val="0"/>
          <w:numId w:val="2"/>
        </w:numPr>
        <w:spacing w:after="80" w:line="285"/>
      </w:pPr>
      <w:r>
        <w:rPr>
          <w:rFonts w:ascii="Calibri" w:cs="Calibri" w:eastAsia="Calibri" w:hAnsi="Calibri"/>
          <w:color w:val="23282D"/>
          <w:sz w:val="21"/>
          <w:szCs w:val="21"/>
        </w:rPr>
        <w:t xml:space="preserve">A capital plan that assumes the next round is certain</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Babbelbots.ai, Cogno.ai, Whiterabbit.ai, QNu Labs.</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2"/>
        <w:spacing w:after="140" w:before="320"/>
      </w:pPr>
      <w:r>
        <w:rPr>
          <w:rFonts w:ascii="Calibri" w:cs="Calibri" w:eastAsia="Calibri" w:hAnsi="Calibri"/>
          <w:b/>
          <w:bCs/>
          <w:color w:val="14304A"/>
          <w:sz w:val="26"/>
          <w:szCs w:val="26"/>
        </w:rPr>
        <w:t xml:space="preserve">9.2  Advanced Manufacturing &amp; Semiconductor</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THE FACTORY FLOOR</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India will not become a manufacturing power on labour cost. That race is being lost to countries with lower wages and won by countries with higher automation. The route available to India is to skip a generation: build plants that compete because of what the machines do.</w:t>
      </w:r>
    </w:p>
    <w:p>
      <w:pPr>
        <w:spacing w:after="140" w:line="290"/>
      </w:pPr>
      <w:r>
        <w:rPr>
          <w:rFonts w:ascii="Calibri" w:cs="Calibri" w:eastAsia="Calibri" w:hAnsi="Calibri"/>
          <w:b w:val="false"/>
          <w:bCs w:val="false"/>
          <w:i w:val="false"/>
          <w:iCs w:val="false"/>
          <w:color w:val="23282D"/>
          <w:sz w:val="21"/>
          <w:szCs w:val="21"/>
        </w:rPr>
        <w:t xml:space="preserve">Semiconductors belong in this conversation rather than alongside AI, and we have deliberately grouped them that way. A fabless startup's binding constraints are industrial ones — tape-out economics, packaging, yield, qualification, supply chain — and they are the same constraints a robotics or precision manufacturing company faces. The India Semiconductor Mission has changed what is financeable here, and chip design and photonics are now a realistic venture category rather than a policy aspiration.</w:t>
      </w:r>
    </w:p>
    <w:p>
      <w:pPr>
        <w:spacing w:after="140" w:line="290"/>
      </w:pPr>
      <w:r>
        <w:rPr>
          <w:rFonts w:ascii="Calibri" w:cs="Calibri" w:eastAsia="Calibri" w:hAnsi="Calibri"/>
          <w:b w:val="false"/>
          <w:bCs w:val="false"/>
          <w:i w:val="false"/>
          <w:iCs w:val="false"/>
          <w:color w:val="23282D"/>
          <w:sz w:val="21"/>
          <w:szCs w:val="21"/>
        </w:rPr>
        <w:t xml:space="preserve">We are drawn to companies where the process capability is the product: where the founding insight is something competitors cannot easily replicate, and the manufactured output is how that capability is monetised.</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Chip design — analog, mixed-signal, RF, and domain-specific silicon</w:t>
      </w:r>
    </w:p>
    <w:p>
      <w:pPr>
        <w:pStyle w:val="ListParagraph"/>
        <w:numPr>
          <w:ilvl w:val="0"/>
          <w:numId w:val="2"/>
        </w:numPr>
        <w:spacing w:after="80" w:line="285"/>
      </w:pPr>
      <w:r>
        <w:rPr>
          <w:rFonts w:ascii="Calibri" w:cs="Calibri" w:eastAsia="Calibri" w:hAnsi="Calibri"/>
          <w:color w:val="23282D"/>
          <w:sz w:val="21"/>
          <w:szCs w:val="21"/>
        </w:rPr>
        <w:t xml:space="preserve">Photonics and optical components</w:t>
      </w:r>
    </w:p>
    <w:p>
      <w:pPr>
        <w:pStyle w:val="ListParagraph"/>
        <w:numPr>
          <w:ilvl w:val="0"/>
          <w:numId w:val="2"/>
        </w:numPr>
        <w:spacing w:after="80" w:line="285"/>
      </w:pPr>
      <w:r>
        <w:rPr>
          <w:rFonts w:ascii="Calibri" w:cs="Calibri" w:eastAsia="Calibri" w:hAnsi="Calibri"/>
          <w:color w:val="23282D"/>
          <w:sz w:val="21"/>
          <w:szCs w:val="21"/>
        </w:rPr>
        <w:t xml:space="preserve">Advanced industrial robotics and motion control</w:t>
      </w:r>
    </w:p>
    <w:p>
      <w:pPr>
        <w:pStyle w:val="ListParagraph"/>
        <w:numPr>
          <w:ilvl w:val="0"/>
          <w:numId w:val="2"/>
        </w:numPr>
        <w:spacing w:after="80" w:line="285"/>
      </w:pPr>
      <w:r>
        <w:rPr>
          <w:rFonts w:ascii="Calibri" w:cs="Calibri" w:eastAsia="Calibri" w:hAnsi="Calibri"/>
          <w:color w:val="23282D"/>
          <w:sz w:val="21"/>
          <w:szCs w:val="21"/>
        </w:rPr>
        <w:t xml:space="preserve">Human-machine interfaces and industrial autonomy</w:t>
      </w:r>
    </w:p>
    <w:p>
      <w:pPr>
        <w:pStyle w:val="ListParagraph"/>
        <w:numPr>
          <w:ilvl w:val="0"/>
          <w:numId w:val="2"/>
        </w:numPr>
        <w:spacing w:after="80" w:line="285"/>
      </w:pPr>
      <w:r>
        <w:rPr>
          <w:rFonts w:ascii="Calibri" w:cs="Calibri" w:eastAsia="Calibri" w:hAnsi="Calibri"/>
          <w:color w:val="23282D"/>
          <w:sz w:val="21"/>
          <w:szCs w:val="21"/>
        </w:rPr>
        <w:t xml:space="preserve">Machine vision, in-line inspection and metrology</w:t>
      </w:r>
    </w:p>
    <w:p>
      <w:pPr>
        <w:pStyle w:val="ListParagraph"/>
        <w:numPr>
          <w:ilvl w:val="0"/>
          <w:numId w:val="2"/>
        </w:numPr>
        <w:spacing w:after="80" w:line="285"/>
      </w:pPr>
      <w:r>
        <w:rPr>
          <w:rFonts w:ascii="Calibri" w:cs="Calibri" w:eastAsia="Calibri" w:hAnsi="Calibri"/>
          <w:color w:val="23282D"/>
          <w:sz w:val="21"/>
          <w:szCs w:val="21"/>
        </w:rPr>
        <w:t xml:space="preserve">Precision manufacturing, tooling and process capability as a business</w:t>
      </w:r>
    </w:p>
    <w:p>
      <w:pPr>
        <w:pStyle w:val="ListParagraph"/>
        <w:numPr>
          <w:ilvl w:val="0"/>
          <w:numId w:val="2"/>
        </w:numPr>
        <w:spacing w:after="80" w:line="285"/>
      </w:pPr>
      <w:r>
        <w:rPr>
          <w:rFonts w:ascii="Calibri" w:cs="Calibri" w:eastAsia="Calibri" w:hAnsi="Calibri"/>
          <w:color w:val="23282D"/>
          <w:sz w:val="21"/>
          <w:szCs w:val="21"/>
        </w:rPr>
        <w:t xml:space="preserve">Electronics assembly and semiconductor supply chain equipment</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For silicon: a taped-out device, or a costed path to tape-out with a named foundry and packaging partner, and a specific view of the capital cliff that tape-out represents. For manufacturing and robotics: a machine or line that a paying customer has run in a production environment, or a signed pilot with a named industrial buyer. In both cases, unit economics that survive contact with the customer's real cost of the incumbent solution, and a credible answer on service and support — which is where Indian industrial hardware companies most often die.</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A chip concept with no silicon, no simulation results and no foundry conversation</w:t>
      </w:r>
    </w:p>
    <w:p>
      <w:pPr>
        <w:pStyle w:val="ListParagraph"/>
        <w:numPr>
          <w:ilvl w:val="0"/>
          <w:numId w:val="2"/>
        </w:numPr>
        <w:spacing w:after="80" w:line="285"/>
      </w:pPr>
      <w:r>
        <w:rPr>
          <w:rFonts w:ascii="Calibri" w:cs="Calibri" w:eastAsia="Calibri" w:hAnsi="Calibri"/>
          <w:color w:val="23282D"/>
          <w:sz w:val="21"/>
          <w:szCs w:val="21"/>
        </w:rPr>
        <w:t xml:space="preserve">A demo that has only ever run in a lab or at a trade show</w:t>
      </w:r>
    </w:p>
    <w:p>
      <w:pPr>
        <w:pStyle w:val="ListParagraph"/>
        <w:numPr>
          <w:ilvl w:val="0"/>
          <w:numId w:val="2"/>
        </w:numPr>
        <w:spacing w:after="80" w:line="285"/>
      </w:pPr>
      <w:r>
        <w:rPr>
          <w:rFonts w:ascii="Calibri" w:cs="Calibri" w:eastAsia="Calibri" w:hAnsi="Calibri"/>
          <w:color w:val="23282D"/>
          <w:sz w:val="21"/>
          <w:szCs w:val="21"/>
        </w:rPr>
        <w:t xml:space="preserve">Automation priced against Western competitors rather than against Indian labour</w:t>
      </w:r>
    </w:p>
    <w:p>
      <w:pPr>
        <w:pStyle w:val="ListParagraph"/>
        <w:numPr>
          <w:ilvl w:val="0"/>
          <w:numId w:val="2"/>
        </w:numPr>
        <w:spacing w:after="80" w:line="285"/>
      </w:pPr>
      <w:r>
        <w:rPr>
          <w:rFonts w:ascii="Calibri" w:cs="Calibri" w:eastAsia="Calibri" w:hAnsi="Calibri"/>
          <w:color w:val="23282D"/>
          <w:sz w:val="21"/>
          <w:szCs w:val="21"/>
        </w:rPr>
        <w:t xml:space="preserve">No service or spares plan for a machine expected to run three shifts</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Peppermint Robotics, MumbaiSemi, Matterwave.</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2"/>
        <w:spacing w:after="140" w:before="320"/>
      </w:pPr>
      <w:r>
        <w:rPr>
          <w:rFonts w:ascii="Calibri" w:cs="Calibri" w:eastAsia="Calibri" w:hAnsi="Calibri"/>
          <w:b/>
          <w:bCs/>
          <w:color w:val="14304A"/>
          <w:sz w:val="26"/>
          <w:szCs w:val="26"/>
        </w:rPr>
        <w:t xml:space="preserve">9.3  Next Gen Materials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MATTER</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Almost every hard constraint in energy, space, electronics and mobility is a materials problem wearing a disguise. Batteries are limited by chemistry and interfaces; hypersonics by thermal protection; semiconductors by substrates and packaging; hydrogen by catalysts and membranes. Solve the material and the downstream industry reorganises around you.</w:t>
      </w:r>
    </w:p>
    <w:p>
      <w:pPr>
        <w:spacing w:after="140" w:line="290"/>
      </w:pPr>
      <w:r>
        <w:rPr>
          <w:rFonts w:ascii="Calibri" w:cs="Calibri" w:eastAsia="Calibri" w:hAnsi="Calibri"/>
          <w:b w:val="false"/>
          <w:bCs w:val="false"/>
          <w:i w:val="false"/>
          <w:iCs w:val="false"/>
          <w:color w:val="23282D"/>
          <w:sz w:val="21"/>
          <w:szCs w:val="21"/>
        </w:rPr>
        <w:t xml:space="preserve">Materials companies are also the most commonly mis-underwritten venture bet in existence, and the reason is a category error rather than a fundamental flaw. They are assessed as product companies when, for their first several years, they are process companies. The valuable asset is rarely the molecule — which is usually published — but the ability to make it consistently at a price and volume nobody else can hit.</w:t>
      </w:r>
    </w:p>
    <w:p>
      <w:pPr>
        <w:spacing w:after="140" w:line="290"/>
      </w:pPr>
      <w:r>
        <w:rPr>
          <w:rFonts w:ascii="Calibri" w:cs="Calibri" w:eastAsia="Calibri" w:hAnsi="Calibri"/>
          <w:b w:val="false"/>
          <w:bCs w:val="false"/>
          <w:i w:val="false"/>
          <w:iCs w:val="false"/>
          <w:color w:val="23282D"/>
          <w:sz w:val="21"/>
          <w:szCs w:val="21"/>
        </w:rPr>
        <w:t xml:space="preserve">We underwrite the process. We want to know your yield, your variance, what happens at ten times the batch size, and who qualifies you. This is a sector where our entry at TRL 4–7 is not a limitation but the entire point: we fund the scale-up, not the discovery.</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Advanced carbon materials — carbon nanotubes, graphene and derivatives</w:t>
      </w:r>
    </w:p>
    <w:p>
      <w:pPr>
        <w:pStyle w:val="ListParagraph"/>
        <w:numPr>
          <w:ilvl w:val="0"/>
          <w:numId w:val="2"/>
        </w:numPr>
        <w:spacing w:after="80" w:line="285"/>
      </w:pPr>
      <w:r>
        <w:rPr>
          <w:rFonts w:ascii="Calibri" w:cs="Calibri" w:eastAsia="Calibri" w:hAnsi="Calibri"/>
          <w:color w:val="23282D"/>
          <w:sz w:val="21"/>
          <w:szCs w:val="21"/>
        </w:rPr>
        <w:t xml:space="preserve">Energy transition materials — battery chemistries, catalysts, membranes</w:t>
      </w:r>
    </w:p>
    <w:p>
      <w:pPr>
        <w:pStyle w:val="ListParagraph"/>
        <w:numPr>
          <w:ilvl w:val="0"/>
          <w:numId w:val="2"/>
        </w:numPr>
        <w:spacing w:after="80" w:line="285"/>
      </w:pPr>
      <w:r>
        <w:rPr>
          <w:rFonts w:ascii="Calibri" w:cs="Calibri" w:eastAsia="Calibri" w:hAnsi="Calibri"/>
          <w:color w:val="23282D"/>
          <w:sz w:val="21"/>
          <w:szCs w:val="21"/>
        </w:rPr>
        <w:t xml:space="preserve">Semiconductor substrates, packaging materials and thermal interfaces</w:t>
      </w:r>
    </w:p>
    <w:p>
      <w:pPr>
        <w:pStyle w:val="ListParagraph"/>
        <w:numPr>
          <w:ilvl w:val="0"/>
          <w:numId w:val="2"/>
        </w:numPr>
        <w:spacing w:after="80" w:line="285"/>
      </w:pPr>
      <w:r>
        <w:rPr>
          <w:rFonts w:ascii="Calibri" w:cs="Calibri" w:eastAsia="Calibri" w:hAnsi="Calibri"/>
          <w:color w:val="23282D"/>
          <w:sz w:val="21"/>
          <w:szCs w:val="21"/>
        </w:rPr>
        <w:t xml:space="preserve">Structural composites and high-temperature materials for aerospace and defence</w:t>
      </w:r>
    </w:p>
    <w:p>
      <w:pPr>
        <w:pStyle w:val="ListParagraph"/>
        <w:numPr>
          <w:ilvl w:val="0"/>
          <w:numId w:val="2"/>
        </w:numPr>
        <w:spacing w:after="80" w:line="285"/>
      </w:pPr>
      <w:r>
        <w:rPr>
          <w:rFonts w:ascii="Calibri" w:cs="Calibri" w:eastAsia="Calibri" w:hAnsi="Calibri"/>
          <w:color w:val="23282D"/>
          <w:sz w:val="21"/>
          <w:szCs w:val="21"/>
        </w:rPr>
        <w:t xml:space="preserve">Computational and AI-accelerated materials discovery with a path to physical production</w:t>
      </w:r>
    </w:p>
    <w:p>
      <w:pPr>
        <w:pStyle w:val="ListParagraph"/>
        <w:numPr>
          <w:ilvl w:val="0"/>
          <w:numId w:val="2"/>
        </w:numPr>
        <w:spacing w:after="80" w:line="285"/>
      </w:pPr>
      <w:r>
        <w:rPr>
          <w:rFonts w:ascii="Calibri" w:cs="Calibri" w:eastAsia="Calibri" w:hAnsi="Calibri"/>
          <w:color w:val="23282D"/>
          <w:sz w:val="21"/>
          <w:szCs w:val="21"/>
        </w:rPr>
        <w:t xml:space="preserve">Coatings and surface engineering with a qualified industrial application</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Material produced repeatedly and characterised by someone other than the founding team. A quantified performance advantage against the named incumbent material, expressed in the customer's units rather than the lab's. A defensible position that is a process, a piece of equipment or a trade secret — not only a composition patent. An identified qualification pathway with a named customer, and an honest statement of how long qualification takes, because in aerospace and semiconductors it can outlast a seed round.</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Grams in a lab with no process engineering work and no view on scale-up</w:t>
      </w:r>
    </w:p>
    <w:p>
      <w:pPr>
        <w:pStyle w:val="ListParagraph"/>
        <w:numPr>
          <w:ilvl w:val="0"/>
          <w:numId w:val="2"/>
        </w:numPr>
        <w:spacing w:after="80" w:line="285"/>
      </w:pPr>
      <w:r>
        <w:rPr>
          <w:rFonts w:ascii="Calibri" w:cs="Calibri" w:eastAsia="Calibri" w:hAnsi="Calibri"/>
          <w:color w:val="23282D"/>
          <w:sz w:val="21"/>
          <w:szCs w:val="21"/>
        </w:rPr>
        <w:t xml:space="preserve">A performance claim measured only by the founders, under conditions the customer will not replicate</w:t>
      </w:r>
    </w:p>
    <w:p>
      <w:pPr>
        <w:pStyle w:val="ListParagraph"/>
        <w:numPr>
          <w:ilvl w:val="0"/>
          <w:numId w:val="2"/>
        </w:numPr>
        <w:spacing w:after="80" w:line="285"/>
      </w:pPr>
      <w:r>
        <w:rPr>
          <w:rFonts w:ascii="Calibri" w:cs="Calibri" w:eastAsia="Calibri" w:hAnsi="Calibri"/>
          <w:color w:val="23282D"/>
          <w:sz w:val="21"/>
          <w:szCs w:val="21"/>
        </w:rPr>
        <w:t xml:space="preserve">A patent portfolio presented as the moat with no manufacturing capability behind it</w:t>
      </w:r>
    </w:p>
    <w:p>
      <w:pPr>
        <w:pStyle w:val="ListParagraph"/>
        <w:numPr>
          <w:ilvl w:val="0"/>
          <w:numId w:val="2"/>
        </w:numPr>
        <w:spacing w:after="80" w:line="285"/>
      </w:pPr>
      <w:r>
        <w:rPr>
          <w:rFonts w:ascii="Calibri" w:cs="Calibri" w:eastAsia="Calibri" w:hAnsi="Calibri"/>
          <w:color w:val="23282D"/>
          <w:sz w:val="21"/>
          <w:szCs w:val="21"/>
        </w:rPr>
        <w:t xml:space="preserve">No named target customer — in materials, the customer defines the specification</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NCF Green, Myoworks.</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2"/>
        <w:spacing w:after="140" w:before="320"/>
      </w:pPr>
      <w:r>
        <w:rPr>
          <w:rFonts w:ascii="Calibri" w:cs="Calibri" w:eastAsia="Calibri" w:hAnsi="Calibri"/>
          <w:b/>
          <w:bCs/>
          <w:color w:val="14304A"/>
          <w:sz w:val="26"/>
          <w:szCs w:val="26"/>
        </w:rPr>
        <w:t xml:space="preserve">9.4  Space &amp; Defence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ORBIT</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Sovereign capability has become a commercial market. India's space sector has opened to private operators, defence procurement has built real channels for startups, and the strategic case for domestic supply is no longer something founders have to argue — it is the buyer's stated policy.</w:t>
      </w:r>
    </w:p>
    <w:p>
      <w:pPr>
        <w:spacing w:after="140" w:line="290"/>
      </w:pPr>
      <w:r>
        <w:rPr>
          <w:rFonts w:ascii="Calibri" w:cs="Calibri" w:eastAsia="Calibri" w:hAnsi="Calibri"/>
          <w:b w:val="false"/>
          <w:bCs w:val="false"/>
          <w:i w:val="false"/>
          <w:iCs w:val="false"/>
          <w:color w:val="23282D"/>
          <w:sz w:val="21"/>
          <w:szCs w:val="21"/>
        </w:rPr>
        <w:t xml:space="preserve">What has not changed is the difficulty of the sale. Procurement cycles outlast seed rounds. Qualification is brutal and non-negotiable. A single programme delay can consume a year of runway. We invest here clear-eyed about that, which is why we care disproportionately about whether a company has a commercial or export revenue line that can carry it while an institutional contract matures.</w:t>
      </w:r>
    </w:p>
    <w:p>
      <w:pPr>
        <w:spacing w:after="140" w:line="290"/>
      </w:pPr>
      <w:r>
        <w:rPr>
          <w:rFonts w:ascii="Calibri" w:cs="Calibri" w:eastAsia="Calibri" w:hAnsi="Calibri"/>
          <w:b w:val="false"/>
          <w:bCs w:val="false"/>
          <w:i w:val="false"/>
          <w:iCs w:val="false"/>
          <w:color w:val="23282D"/>
          <w:sz w:val="21"/>
          <w:szCs w:val="21"/>
        </w:rPr>
        <w:t xml:space="preserve">We have an unusual advantage in this sector. Our investment committee includes a former Associate Director at ISRO's Satish Dhawan Space Centre who contributed to Chandrayaan-1 and Mangalyaan, and a co-creator of the iDEX initiative who served as a Director in the Ministry of Defence Production. When we assess a propulsion architecture or a procurement pathway, we are not learning it from a market report.</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Reusable launch vehicles and propulsion</w:t>
      </w:r>
    </w:p>
    <w:p>
      <w:pPr>
        <w:pStyle w:val="ListParagraph"/>
        <w:numPr>
          <w:ilvl w:val="0"/>
          <w:numId w:val="2"/>
        </w:numPr>
        <w:spacing w:after="80" w:line="285"/>
      </w:pPr>
      <w:r>
        <w:rPr>
          <w:rFonts w:ascii="Calibri" w:cs="Calibri" w:eastAsia="Calibri" w:hAnsi="Calibri"/>
          <w:color w:val="23282D"/>
          <w:sz w:val="21"/>
          <w:szCs w:val="21"/>
        </w:rPr>
        <w:t xml:space="preserve">GaN, RF, analog and mixed-signal integrated circuits for space and defence</w:t>
      </w:r>
    </w:p>
    <w:p>
      <w:pPr>
        <w:pStyle w:val="ListParagraph"/>
        <w:numPr>
          <w:ilvl w:val="0"/>
          <w:numId w:val="2"/>
        </w:numPr>
        <w:spacing w:after="80" w:line="285"/>
      </w:pPr>
      <w:r>
        <w:rPr>
          <w:rFonts w:ascii="Calibri" w:cs="Calibri" w:eastAsia="Calibri" w:hAnsi="Calibri"/>
          <w:color w:val="23282D"/>
          <w:sz w:val="21"/>
          <w:szCs w:val="21"/>
        </w:rPr>
        <w:t xml:space="preserve">Satellite servicing, ground segment and space situational awareness</w:t>
      </w:r>
    </w:p>
    <w:p>
      <w:pPr>
        <w:pStyle w:val="ListParagraph"/>
        <w:numPr>
          <w:ilvl w:val="0"/>
          <w:numId w:val="2"/>
        </w:numPr>
        <w:spacing w:after="80" w:line="285"/>
      </w:pPr>
      <w:r>
        <w:rPr>
          <w:rFonts w:ascii="Calibri" w:cs="Calibri" w:eastAsia="Calibri" w:hAnsi="Calibri"/>
          <w:color w:val="23282D"/>
          <w:sz w:val="21"/>
          <w:szCs w:val="21"/>
        </w:rPr>
        <w:t xml:space="preserve">Defence systems, autonomy and unmanned platforms</w:t>
      </w:r>
    </w:p>
    <w:p>
      <w:pPr>
        <w:pStyle w:val="ListParagraph"/>
        <w:numPr>
          <w:ilvl w:val="0"/>
          <w:numId w:val="2"/>
        </w:numPr>
        <w:spacing w:after="80" w:line="285"/>
      </w:pPr>
      <w:r>
        <w:rPr>
          <w:rFonts w:ascii="Calibri" w:cs="Calibri" w:eastAsia="Calibri" w:hAnsi="Calibri"/>
          <w:color w:val="23282D"/>
          <w:sz w:val="21"/>
          <w:szCs w:val="21"/>
        </w:rPr>
        <w:t xml:space="preserve">Sensors, electronic warfare and secure communications</w:t>
      </w:r>
    </w:p>
    <w:p>
      <w:pPr>
        <w:pStyle w:val="ListParagraph"/>
        <w:numPr>
          <w:ilvl w:val="0"/>
          <w:numId w:val="2"/>
        </w:numPr>
        <w:spacing w:after="80" w:line="285"/>
      </w:pPr>
      <w:r>
        <w:rPr>
          <w:rFonts w:ascii="Calibri" w:cs="Calibri" w:eastAsia="Calibri" w:hAnsi="Calibri"/>
          <w:color w:val="23282D"/>
          <w:sz w:val="21"/>
          <w:szCs w:val="21"/>
        </w:rPr>
        <w:t xml:space="preserve">Test, qualification and mission assurance infrastructure</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Hardware that has been environmentally tested, flown, or trialled with an institutional user. A named programme, tender or prime contractor rather than a market-size argument. Founders who understand the procurement process they are entering — iDEX, TDF, ISRO, DRDO or a prime — and can name the next three gates. Critically, a revenue path that does not depend entirely on one government programme landing on schedule.</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A total-addressable-market slide where a named customer conversation should be</w:t>
      </w:r>
    </w:p>
    <w:p>
      <w:pPr>
        <w:pStyle w:val="ListParagraph"/>
        <w:numPr>
          <w:ilvl w:val="0"/>
          <w:numId w:val="2"/>
        </w:numPr>
        <w:spacing w:after="80" w:line="285"/>
      </w:pPr>
      <w:r>
        <w:rPr>
          <w:rFonts w:ascii="Calibri" w:cs="Calibri" w:eastAsia="Calibri" w:hAnsi="Calibri"/>
          <w:color w:val="23282D"/>
          <w:sz w:val="21"/>
          <w:szCs w:val="21"/>
        </w:rPr>
        <w:t xml:space="preserve">A capital plan that assumes an eighteen-month procurement cycle completes in six</w:t>
      </w:r>
    </w:p>
    <w:p>
      <w:pPr>
        <w:pStyle w:val="ListParagraph"/>
        <w:numPr>
          <w:ilvl w:val="0"/>
          <w:numId w:val="2"/>
        </w:numPr>
        <w:spacing w:after="80" w:line="285"/>
      </w:pPr>
      <w:r>
        <w:rPr>
          <w:rFonts w:ascii="Calibri" w:cs="Calibri" w:eastAsia="Calibri" w:hAnsi="Calibri"/>
          <w:color w:val="23282D"/>
          <w:sz w:val="21"/>
          <w:szCs w:val="21"/>
        </w:rPr>
        <w:t xml:space="preserve">No security clearance, licensing or compliance pathway identified</w:t>
      </w:r>
    </w:p>
    <w:p>
      <w:pPr>
        <w:pStyle w:val="ListParagraph"/>
        <w:numPr>
          <w:ilvl w:val="0"/>
          <w:numId w:val="2"/>
        </w:numPr>
        <w:spacing w:after="80" w:line="285"/>
      </w:pPr>
      <w:r>
        <w:rPr>
          <w:rFonts w:ascii="Calibri" w:cs="Calibri" w:eastAsia="Calibri" w:hAnsi="Calibri"/>
          <w:color w:val="23282D"/>
          <w:sz w:val="21"/>
          <w:szCs w:val="21"/>
        </w:rPr>
        <w:t xml:space="preserve">A product viable only at a volume the domestic market will not reach, with no export strategy</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Bellatrix Aerospace, InspeCity Space, Zeus Numerix.</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2"/>
        <w:spacing w:after="140" w:before="320"/>
      </w:pPr>
      <w:r>
        <w:rPr>
          <w:rFonts w:ascii="Calibri" w:cs="Calibri" w:eastAsia="Calibri" w:hAnsi="Calibri"/>
          <w:b/>
          <w:bCs/>
          <w:color w:val="14304A"/>
          <w:sz w:val="26"/>
          <w:szCs w:val="26"/>
        </w:rPr>
        <w:t xml:space="preserve">9.5  Climate &amp; CleanTech</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ENERGY</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Decarbonising an industrialising economy is a structurally different problem from decarbonising a wealthy one, and most available climate technology was designed for the second case. India is adding industrial capacity, not retiring it. Its buyers are price-sensitive to a degree that Western climate business models rarely survive. Its grid, land and water constraints are specific.</w:t>
      </w:r>
    </w:p>
    <w:p>
      <w:pPr>
        <w:spacing w:after="140" w:line="290"/>
      </w:pPr>
      <w:r>
        <w:rPr>
          <w:rFonts w:ascii="Calibri" w:cs="Calibri" w:eastAsia="Calibri" w:hAnsi="Calibri"/>
          <w:b w:val="false"/>
          <w:bCs w:val="false"/>
          <w:i w:val="false"/>
          <w:iCs w:val="false"/>
          <w:color w:val="23282D"/>
          <w:sz w:val="21"/>
          <w:szCs w:val="21"/>
        </w:rPr>
        <w:t xml:space="preserve">This is an advantage for companies that design for it. Technology that reaches parity without a subsidy in India will be exportable to every other industrialising market on earth, which is where most of this century's emissions growth will occur. Technology that needs a carbon price to work is, for our purposes, a research project.</w:t>
      </w:r>
    </w:p>
    <w:p>
      <w:pPr>
        <w:spacing w:after="140" w:line="290"/>
      </w:pPr>
      <w:r>
        <w:rPr>
          <w:rFonts w:ascii="Calibri" w:cs="Calibri" w:eastAsia="Calibri" w:hAnsi="Calibri"/>
          <w:b w:val="false"/>
          <w:bCs w:val="false"/>
          <w:i w:val="false"/>
          <w:iCs w:val="false"/>
          <w:color w:val="23282D"/>
          <w:sz w:val="21"/>
          <w:szCs w:val="21"/>
        </w:rPr>
        <w:t xml:space="preserve">We look hardest at the industrial and infrastructure end — hydrogen and ammonia, storage chemistry, energy efficiency, water — rather than the consumer end, where technical difficulty is low and the capital requirement is mostly marketing.</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Green hydrogen and ammonia production, including electrolyser components</w:t>
      </w:r>
    </w:p>
    <w:p>
      <w:pPr>
        <w:pStyle w:val="ListParagraph"/>
        <w:numPr>
          <w:ilvl w:val="0"/>
          <w:numId w:val="2"/>
        </w:numPr>
        <w:spacing w:after="80" w:line="285"/>
      </w:pPr>
      <w:r>
        <w:rPr>
          <w:rFonts w:ascii="Calibri" w:cs="Calibri" w:eastAsia="Calibri" w:hAnsi="Calibri"/>
          <w:color w:val="23282D"/>
          <w:sz w:val="21"/>
          <w:szCs w:val="21"/>
        </w:rPr>
        <w:t xml:space="preserve">Alternative battery chemistries and long-duration storage</w:t>
      </w:r>
    </w:p>
    <w:p>
      <w:pPr>
        <w:pStyle w:val="ListParagraph"/>
        <w:numPr>
          <w:ilvl w:val="0"/>
          <w:numId w:val="2"/>
        </w:numPr>
        <w:spacing w:after="80" w:line="285"/>
      </w:pPr>
      <w:r>
        <w:rPr>
          <w:rFonts w:ascii="Calibri" w:cs="Calibri" w:eastAsia="Calibri" w:hAnsi="Calibri"/>
          <w:color w:val="23282D"/>
          <w:sz w:val="21"/>
          <w:szCs w:val="21"/>
        </w:rPr>
        <w:t xml:space="preserve">Energy efficiency, storage integration and grid infrastructure</w:t>
      </w:r>
    </w:p>
    <w:p>
      <w:pPr>
        <w:pStyle w:val="ListParagraph"/>
        <w:numPr>
          <w:ilvl w:val="0"/>
          <w:numId w:val="2"/>
        </w:numPr>
        <w:spacing w:after="80" w:line="285"/>
      </w:pPr>
      <w:r>
        <w:rPr>
          <w:rFonts w:ascii="Calibri" w:cs="Calibri" w:eastAsia="Calibri" w:hAnsi="Calibri"/>
          <w:color w:val="23282D"/>
          <w:sz w:val="21"/>
          <w:szCs w:val="21"/>
        </w:rPr>
        <w:t xml:space="preserve">Industrial decarbonisation — process heat, cement, steel, chemicals</w:t>
      </w:r>
    </w:p>
    <w:p>
      <w:pPr>
        <w:pStyle w:val="ListParagraph"/>
        <w:numPr>
          <w:ilvl w:val="0"/>
          <w:numId w:val="2"/>
        </w:numPr>
        <w:spacing w:after="80" w:line="285"/>
      </w:pPr>
      <w:r>
        <w:rPr>
          <w:rFonts w:ascii="Calibri" w:cs="Calibri" w:eastAsia="Calibri" w:hAnsi="Calibri"/>
          <w:color w:val="23282D"/>
          <w:sz w:val="21"/>
          <w:szCs w:val="21"/>
        </w:rPr>
        <w:t xml:space="preserve">Water treatment, desalination and industrial reuse</w:t>
      </w:r>
    </w:p>
    <w:p>
      <w:pPr>
        <w:pStyle w:val="ListParagraph"/>
        <w:numPr>
          <w:ilvl w:val="0"/>
          <w:numId w:val="2"/>
        </w:numPr>
        <w:spacing w:after="80" w:line="285"/>
      </w:pPr>
      <w:r>
        <w:rPr>
          <w:rFonts w:ascii="Calibri" w:cs="Calibri" w:eastAsia="Calibri" w:hAnsi="Calibri"/>
          <w:color w:val="23282D"/>
          <w:sz w:val="21"/>
          <w:szCs w:val="21"/>
        </w:rPr>
        <w:t xml:space="preserve">Circularity — battery, e-waste and critical mineral recovery</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A pilot running on a real industrial site, with performance data the customer collected. Cost parity, or a credible and dated path to it, without assuming a carbon price or a subsidy that does not currently exist. A first customer buying for a commercial reason — energy cost, compliance, supply security — rather than a sustainability commitment, because commitments do not survive a bad quarter. A defensible technical position rather than a project-development advantage.</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A model that only works with a carbon price India has not adopted</w:t>
      </w:r>
    </w:p>
    <w:p>
      <w:pPr>
        <w:pStyle w:val="ListParagraph"/>
        <w:numPr>
          <w:ilvl w:val="0"/>
          <w:numId w:val="2"/>
        </w:numPr>
        <w:spacing w:after="80" w:line="285"/>
      </w:pPr>
      <w:r>
        <w:rPr>
          <w:rFonts w:ascii="Calibri" w:cs="Calibri" w:eastAsia="Calibri" w:hAnsi="Calibri"/>
          <w:color w:val="23282D"/>
          <w:sz w:val="21"/>
          <w:szCs w:val="21"/>
        </w:rPr>
        <w:t xml:space="preserve">Technology licensed from abroad and localised, with no proprietary development</w:t>
      </w:r>
    </w:p>
    <w:p>
      <w:pPr>
        <w:pStyle w:val="ListParagraph"/>
        <w:numPr>
          <w:ilvl w:val="0"/>
          <w:numId w:val="2"/>
        </w:numPr>
        <w:spacing w:after="80" w:line="285"/>
      </w:pPr>
      <w:r>
        <w:rPr>
          <w:rFonts w:ascii="Calibri" w:cs="Calibri" w:eastAsia="Calibri" w:hAnsi="Calibri"/>
          <w:color w:val="23282D"/>
          <w:sz w:val="21"/>
          <w:szCs w:val="21"/>
        </w:rPr>
        <w:t xml:space="preserve">A pilot that has never left a controlled environment</w:t>
      </w:r>
    </w:p>
    <w:p>
      <w:pPr>
        <w:pStyle w:val="ListParagraph"/>
        <w:numPr>
          <w:ilvl w:val="0"/>
          <w:numId w:val="2"/>
        </w:numPr>
        <w:spacing w:after="80" w:line="285"/>
      </w:pPr>
      <w:r>
        <w:rPr>
          <w:rFonts w:ascii="Calibri" w:cs="Calibri" w:eastAsia="Calibri" w:hAnsi="Calibri"/>
          <w:color w:val="23282D"/>
          <w:sz w:val="21"/>
          <w:szCs w:val="21"/>
        </w:rPr>
        <w:t xml:space="preserve">A project developer wearing a technology company's clothes</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ART-PV, NXPEC, Indra Water.</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2"/>
        <w:spacing w:after="140" w:before="320"/>
      </w:pPr>
      <w:r>
        <w:rPr>
          <w:rFonts w:ascii="Calibri" w:cs="Calibri" w:eastAsia="Calibri" w:hAnsi="Calibri"/>
          <w:b/>
          <w:bCs/>
          <w:color w:val="14304A"/>
          <w:sz w:val="26"/>
          <w:szCs w:val="26"/>
        </w:rPr>
        <w:t xml:space="preserve">9.6  Life Sciences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HERO HEADLINE</w:t>
            </w:r>
          </w:p>
          <w:p>
            <w:pPr>
              <w:spacing w:after="0" w:line="290"/>
            </w:pPr>
            <w:r>
              <w:rPr>
                <w:rFonts w:ascii="Calibri" w:cs="Calibri" w:eastAsia="Calibri" w:hAnsi="Calibri"/>
                <w:color w:val="23282D"/>
                <w:sz w:val="21"/>
                <w:szCs w:val="21"/>
              </w:rPr>
              <w:t xml:space="preserve">INVESTING IN THE FUTURE OF MEDICINE</w:t>
            </w:r>
          </w:p>
        </w:tc>
      </w:tr>
    </w:tbl>
    <w:p>
      <w:pPr>
        <w:spacing w:after="160"/>
      </w:pPr>
      <w:r>
        <w:t xml:space="preserve"/>
      </w:r>
    </w:p>
    <w:p>
      <w:pPr>
        <w:spacing w:after="80" w:before="180"/>
      </w:pPr>
      <w:r>
        <w:rPr>
          <w:rFonts w:ascii="Calibri" w:cs="Calibri" w:eastAsia="Calibri" w:hAnsi="Calibri"/>
          <w:b/>
          <w:bCs/>
          <w:color w:val="5A6472"/>
          <w:sz w:val="20"/>
          <w:szCs w:val="20"/>
        </w:rPr>
        <w:t xml:space="preserve">What we believe</w:t>
      </w:r>
    </w:p>
    <w:p>
      <w:pPr>
        <w:spacing w:after="140" w:line="290"/>
      </w:pPr>
      <w:r>
        <w:rPr>
          <w:rFonts w:ascii="Calibri" w:cs="Calibri" w:eastAsia="Calibri" w:hAnsi="Calibri"/>
          <w:b w:val="false"/>
          <w:bCs w:val="false"/>
          <w:i w:val="false"/>
          <w:iCs w:val="false"/>
          <w:color w:val="23282D"/>
          <w:sz w:val="21"/>
          <w:szCs w:val="21"/>
        </w:rPr>
        <w:t xml:space="preserve">India has two assets in health that are difficult for anyone else to assemble: clinical scale — patient populations, disease diversity and trial capacity — and an engineering cost base that can build an instrument or a therapy for a fraction of what it costs elsewhere. ImmunoACT priced India's first indigenous CAR-T therapy at roughly a tenth of international equivalents. That is not a discount; it is a different cost structure, and it opens markets the incumbents have written off.</w:t>
      </w:r>
    </w:p>
    <w:p>
      <w:pPr>
        <w:spacing w:after="140" w:line="290"/>
      </w:pPr>
      <w:r>
        <w:rPr>
          <w:rFonts w:ascii="Calibri" w:cs="Calibri" w:eastAsia="Calibri" w:hAnsi="Calibri"/>
          <w:b w:val="false"/>
          <w:bCs w:val="false"/>
          <w:i w:val="false"/>
          <w:iCs w:val="false"/>
          <w:color w:val="23282D"/>
          <w:sz w:val="21"/>
          <w:szCs w:val="21"/>
        </w:rPr>
        <w:t xml:space="preserve">We concentrate on novel biologics, precision medicine, and stem cell and tissue engineering, alongside the instrumentation and diagnostics layer where our engineering diligence is strongest. Where a programme requires clinical capital beyond what a fund of our size can responsibly underwrite alone, we expect to participate alongside a specialist lead rather than lead it ourselves.</w:t>
      </w:r>
    </w:p>
    <w:p>
      <w:pPr>
        <w:spacing w:after="140" w:line="290"/>
      </w:pPr>
      <w:r>
        <w:rPr>
          <w:rFonts w:ascii="Calibri" w:cs="Calibri" w:eastAsia="Calibri" w:hAnsi="Calibri"/>
          <w:b w:val="false"/>
          <w:bCs w:val="false"/>
          <w:i w:val="false"/>
          <w:iCs w:val="false"/>
          <w:color w:val="23282D"/>
          <w:sz w:val="21"/>
          <w:szCs w:val="21"/>
        </w:rPr>
        <w:t xml:space="preserve">Regulatory strategy is not a later problem in this sector. It is the product architecture, and we will ask about it in the first meeting.</w:t>
      </w:r>
    </w:p>
    <w:p>
      <w:pPr>
        <w:spacing w:after="80" w:before="180"/>
      </w:pPr>
      <w:r>
        <w:rPr>
          <w:rFonts w:ascii="Calibri" w:cs="Calibri" w:eastAsia="Calibri" w:hAnsi="Calibri"/>
          <w:b/>
          <w:bCs/>
          <w:color w:val="5A6472"/>
          <w:sz w:val="20"/>
          <w:szCs w:val="20"/>
        </w:rPr>
        <w:t xml:space="preserve">Where we are looking</w:t>
      </w:r>
    </w:p>
    <w:p>
      <w:pPr>
        <w:pStyle w:val="ListParagraph"/>
        <w:numPr>
          <w:ilvl w:val="0"/>
          <w:numId w:val="2"/>
        </w:numPr>
        <w:spacing w:after="80" w:line="285"/>
      </w:pPr>
      <w:r>
        <w:rPr>
          <w:rFonts w:ascii="Calibri" w:cs="Calibri" w:eastAsia="Calibri" w:hAnsi="Calibri"/>
          <w:color w:val="23282D"/>
          <w:sz w:val="21"/>
          <w:szCs w:val="21"/>
        </w:rPr>
        <w:t xml:space="preserve">Novel biologics development</w:t>
      </w:r>
    </w:p>
    <w:p>
      <w:pPr>
        <w:pStyle w:val="ListParagraph"/>
        <w:numPr>
          <w:ilvl w:val="0"/>
          <w:numId w:val="2"/>
        </w:numPr>
        <w:spacing w:after="80" w:line="285"/>
      </w:pPr>
      <w:r>
        <w:rPr>
          <w:rFonts w:ascii="Calibri" w:cs="Calibri" w:eastAsia="Calibri" w:hAnsi="Calibri"/>
          <w:color w:val="23282D"/>
          <w:sz w:val="21"/>
          <w:szCs w:val="21"/>
        </w:rPr>
        <w:t xml:space="preserve">Precision medicine and clinical genomics</w:t>
      </w:r>
    </w:p>
    <w:p>
      <w:pPr>
        <w:pStyle w:val="ListParagraph"/>
        <w:numPr>
          <w:ilvl w:val="0"/>
          <w:numId w:val="2"/>
        </w:numPr>
        <w:spacing w:after="80" w:line="285"/>
      </w:pPr>
      <w:r>
        <w:rPr>
          <w:rFonts w:ascii="Calibri" w:cs="Calibri" w:eastAsia="Calibri" w:hAnsi="Calibri"/>
          <w:color w:val="23282D"/>
          <w:sz w:val="21"/>
          <w:szCs w:val="21"/>
        </w:rPr>
        <w:t xml:space="preserve">Stem cell and tissue engineering</w:t>
      </w:r>
    </w:p>
    <w:p>
      <w:pPr>
        <w:pStyle w:val="ListParagraph"/>
        <w:numPr>
          <w:ilvl w:val="0"/>
          <w:numId w:val="2"/>
        </w:numPr>
        <w:spacing w:after="80" w:line="285"/>
      </w:pPr>
      <w:r>
        <w:rPr>
          <w:rFonts w:ascii="Calibri" w:cs="Calibri" w:eastAsia="Calibri" w:hAnsi="Calibri"/>
          <w:color w:val="23282D"/>
          <w:sz w:val="21"/>
          <w:szCs w:val="21"/>
        </w:rPr>
        <w:t xml:space="preserve">Diagnostics and point-of-care devices designed for Indian cost and infrastructure</w:t>
      </w:r>
    </w:p>
    <w:p>
      <w:pPr>
        <w:pStyle w:val="ListParagraph"/>
        <w:numPr>
          <w:ilvl w:val="0"/>
          <w:numId w:val="2"/>
        </w:numPr>
        <w:spacing w:after="80" w:line="285"/>
      </w:pPr>
      <w:r>
        <w:rPr>
          <w:rFonts w:ascii="Calibri" w:cs="Calibri" w:eastAsia="Calibri" w:hAnsi="Calibri"/>
          <w:color w:val="23282D"/>
          <w:sz w:val="21"/>
          <w:szCs w:val="21"/>
        </w:rPr>
        <w:t xml:space="preserve">Biomedical instrumentation, imaging and lab automation</w:t>
      </w:r>
    </w:p>
    <w:p>
      <w:pPr>
        <w:pStyle w:val="ListParagraph"/>
        <w:numPr>
          <w:ilvl w:val="0"/>
          <w:numId w:val="2"/>
        </w:numPr>
        <w:spacing w:after="80" w:line="285"/>
      </w:pPr>
      <w:r>
        <w:rPr>
          <w:rFonts w:ascii="Calibri" w:cs="Calibri" w:eastAsia="Calibri" w:hAnsi="Calibri"/>
          <w:color w:val="23282D"/>
          <w:sz w:val="21"/>
          <w:szCs w:val="21"/>
        </w:rPr>
        <w:t xml:space="preserve">Computational diagnostics with a defined regulatory pathway</w:t>
      </w:r>
    </w:p>
    <w:p>
      <w:pPr>
        <w:spacing w:after="80" w:before="180"/>
      </w:pPr>
      <w:r>
        <w:rPr>
          <w:rFonts w:ascii="Calibri" w:cs="Calibri" w:eastAsia="Calibri" w:hAnsi="Calibri"/>
          <w:b/>
          <w:bCs/>
          <w:color w:val="5A6472"/>
          <w:sz w:val="20"/>
          <w:szCs w:val="20"/>
        </w:rPr>
        <w:t xml:space="preserve">What a fundable company looks like here</w:t>
      </w:r>
    </w:p>
    <w:p>
      <w:pPr>
        <w:spacing w:after="140" w:line="290"/>
      </w:pPr>
      <w:r>
        <w:rPr>
          <w:rFonts w:ascii="Calibri" w:cs="Calibri" w:eastAsia="Calibri" w:hAnsi="Calibri"/>
          <w:b w:val="false"/>
          <w:bCs w:val="false"/>
          <w:i w:val="false"/>
          <w:iCs w:val="false"/>
          <w:color w:val="23282D"/>
          <w:sz w:val="21"/>
          <w:szCs w:val="21"/>
        </w:rPr>
        <w:t xml:space="preserve">Data from real clinical samples or real patients, not simulated inputs. A named regulatory pathway — CDSCO class, and where relevant the FDA or CE route — with the team's own assessment of timeline and cost. A clinical champion at a named institution. A reimbursement or payment answer, because in Indian healthcare the question of who actually pays defeats more good technology than the technology itself does.</w:t>
      </w:r>
    </w:p>
    <w:p>
      <w:pPr>
        <w:spacing w:after="80" w:before="180"/>
      </w:pPr>
      <w:r>
        <w:rPr>
          <w:rFonts w:ascii="Calibri" w:cs="Calibri" w:eastAsia="Calibri" w:hAnsi="Calibri"/>
          <w:b/>
          <w:bCs/>
          <w:color w:val="5A6472"/>
          <w:sz w:val="20"/>
          <w:szCs w:val="20"/>
        </w:rPr>
        <w:t xml:space="preserve">What gets a fast no</w:t>
      </w:r>
    </w:p>
    <w:p>
      <w:pPr>
        <w:pStyle w:val="ListParagraph"/>
        <w:numPr>
          <w:ilvl w:val="0"/>
          <w:numId w:val="2"/>
        </w:numPr>
        <w:spacing w:after="80" w:line="285"/>
      </w:pPr>
      <w:r>
        <w:rPr>
          <w:rFonts w:ascii="Calibri" w:cs="Calibri" w:eastAsia="Calibri" w:hAnsi="Calibri"/>
          <w:color w:val="23282D"/>
          <w:sz w:val="21"/>
          <w:szCs w:val="21"/>
        </w:rPr>
        <w:t xml:space="preserve">An algorithm trained on public datasets with no clinical validation and no regulatory plan</w:t>
      </w:r>
    </w:p>
    <w:p>
      <w:pPr>
        <w:pStyle w:val="ListParagraph"/>
        <w:numPr>
          <w:ilvl w:val="0"/>
          <w:numId w:val="2"/>
        </w:numPr>
        <w:spacing w:after="80" w:line="285"/>
      </w:pPr>
      <w:r>
        <w:rPr>
          <w:rFonts w:ascii="Calibri" w:cs="Calibri" w:eastAsia="Calibri" w:hAnsi="Calibri"/>
          <w:color w:val="23282D"/>
          <w:sz w:val="21"/>
          <w:szCs w:val="21"/>
        </w:rPr>
        <w:t xml:space="preserve">A device designed for a Western price point and then discounted for India</w:t>
      </w:r>
    </w:p>
    <w:p>
      <w:pPr>
        <w:pStyle w:val="ListParagraph"/>
        <w:numPr>
          <w:ilvl w:val="0"/>
          <w:numId w:val="2"/>
        </w:numPr>
        <w:spacing w:after="80" w:line="285"/>
      </w:pPr>
      <w:r>
        <w:rPr>
          <w:rFonts w:ascii="Calibri" w:cs="Calibri" w:eastAsia="Calibri" w:hAnsi="Calibri"/>
          <w:color w:val="23282D"/>
          <w:sz w:val="21"/>
          <w:szCs w:val="21"/>
        </w:rPr>
        <w:t xml:space="preserve">No clinical partner, no ethics approval, no sample access</w:t>
      </w:r>
    </w:p>
    <w:p>
      <w:pPr>
        <w:pStyle w:val="ListParagraph"/>
        <w:numPr>
          <w:ilvl w:val="0"/>
          <w:numId w:val="2"/>
        </w:numPr>
        <w:spacing w:after="80" w:line="285"/>
      </w:pPr>
      <w:r>
        <w:rPr>
          <w:rFonts w:ascii="Calibri" w:cs="Calibri" w:eastAsia="Calibri" w:hAnsi="Calibri"/>
          <w:color w:val="23282D"/>
          <w:sz w:val="21"/>
          <w:szCs w:val="21"/>
        </w:rPr>
        <w:t xml:space="preserve">A therapeutics programme seeking us as sole lead investor</w:t>
      </w:r>
    </w:p>
    <w:p>
      <w:pPr>
        <w:spacing w:after="80"/>
      </w:pPr>
      <w:r>
        <w:t xml:space="preserve"/>
      </w:r>
    </w:p>
    <w:p>
      <w:pPr>
        <w:spacing w:after="140" w:line="290"/>
      </w:pPr>
      <w:r>
        <w:rPr>
          <w:rFonts w:ascii="Calibri" w:cs="Calibri" w:eastAsia="Calibri" w:hAnsi="Calibri"/>
          <w:b w:val="false"/>
          <w:bCs w:val="false"/>
          <w:i/>
          <w:iCs/>
          <w:color w:val="5A6472"/>
          <w:sz w:val="19"/>
          <w:szCs w:val="19"/>
        </w:rPr>
        <w:t xml:space="preserve">Ecosystem reference (SINE incubation portfolio, not Y-Point Fund-I investments — see Section 4.4 for the labelling rule): ImmunoACT, Haystack Analytics, Endimension.</w:t>
      </w:r>
    </w:p>
    <w:p>
      <w:pPr>
        <w:spacing w:after="140" w:line="290"/>
      </w:pPr>
      <w:r>
        <w:rPr>
          <w:rFonts w:ascii="Calibri" w:cs="Calibri" w:eastAsia="Calibri" w:hAnsi="Calibri"/>
          <w:b w:val="false"/>
          <w:bCs w:val="false"/>
          <w:i/>
          <w:iCs/>
          <w:color w:val="5A6472"/>
          <w:sz w:val="19"/>
          <w:szCs w:val="19"/>
        </w:rPr>
        <w:t xml:space="preserve">Page furniture: Y-Point portfolio companies tagged to this vertical, content tagged to this vertical, investment team and IC members covering it, and a CTA block reading 'Building in this space? Tell us about it.'</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10  Platform — The Y-Point Edge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WHY THIS IS THE MOST IMPORTANT PAGE ON THE SITE</w:t>
            </w:r>
          </w:p>
          <w:p>
            <w:pPr>
              <w:spacing w:after="120" w:line="290"/>
            </w:pPr>
            <w:r>
              <w:rPr>
                <w:rFonts w:ascii="Calibri" w:cs="Calibri" w:eastAsia="Calibri" w:hAnsi="Calibri"/>
                <w:color w:val="23282D"/>
                <w:sz w:val="21"/>
                <w:szCs w:val="21"/>
              </w:rPr>
              <w:t xml:space="preserve">a16z's entire brand rests on one claim: we give you more than money, and here is the organisation chart to prove it. Y-Point cannot make that claim on headcount — the investment team is four people — and should not try.</w:t>
            </w:r>
          </w:p>
          <w:p>
            <w:pPr>
              <w:spacing w:after="120" w:line="290"/>
            </w:pPr>
            <w:r>
              <w:rPr>
                <w:rFonts w:ascii="Calibri" w:cs="Calibri" w:eastAsia="Calibri" w:hAnsi="Calibri"/>
                <w:color w:val="23282D"/>
                <w:sz w:val="21"/>
                <w:szCs w:val="21"/>
              </w:rPr>
              <w:t xml:space="preserve">The claim available to Y-Point is narrower and much harder to copy: the fund is owned by the incubator. Y-Point Investment Advisors is wholly owned by SINE. The co-sponsor trust's sole beneficiary is IIT Bombay. This is not a partnership or a referral arrangement; it is the same institution, with a balance sheet attached.</w:t>
            </w:r>
          </w:p>
          <w:p>
            <w:pPr>
              <w:spacing w:after="0" w:line="290"/>
            </w:pPr>
            <w:r>
              <w:rPr>
                <w:rFonts w:ascii="Calibri" w:cs="Calibri" w:eastAsia="Calibri" w:hAnsi="Calibri"/>
                <w:color w:val="23282D"/>
                <w:sz w:val="21"/>
                <w:szCs w:val="21"/>
              </w:rPr>
              <w:t xml:space="preserve">Written vaguely, this is the weakest page on the site. Written with specifics, it is the reason a founder takes a ₹4 crore cheque from Y-Point over a larger one from a generalist.</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10.1  Page hero</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HOW WE WORK WITH FOUNDERS</w:t>
            </w:r>
          </w:p>
          <w:p>
            <w:pPr>
              <w:spacing w:after="120" w:line="290"/>
            </w:pPr>
            <w:r>
              <w:rPr>
                <w:rFonts w:ascii="Calibri" w:cs="Calibri" w:eastAsia="Calibri" w:hAnsi="Calibri"/>
                <w:color w:val="23282D"/>
                <w:sz w:val="21"/>
                <w:szCs w:val="21"/>
              </w:rPr>
              <w:t xml:space="preserve">Capital is the least differentiated thing we bring.</w:t>
            </w:r>
          </w:p>
          <w:p>
            <w:pPr>
              <w:spacing w:after="120" w:line="290"/>
            </w:pPr>
            <w:r>
              <w:rPr>
                <w:rFonts w:ascii="Calibri" w:cs="Calibri" w:eastAsia="Calibri" w:hAnsi="Calibri"/>
                <w:color w:val="23282D"/>
                <w:sz w:val="21"/>
                <w:szCs w:val="21"/>
              </w:rPr>
              <w:t xml:space="preserve">Deep tech companies do not fail because a term sheet was two crore too small. They fail because a qualification cycle took eighteen months instead of six, because a grant application was filed at the wrong stage, because the first customer needed a certification nobody had budgeted for, or because a technical risk everyone had privately noticed was never properly addressed.</w:t>
            </w:r>
          </w:p>
          <w:p>
            <w:pPr>
              <w:spacing w:after="0" w:line="290"/>
            </w:pPr>
            <w:r>
              <w:rPr>
                <w:rFonts w:ascii="Calibri" w:cs="Calibri" w:eastAsia="Calibri" w:hAnsi="Calibri"/>
                <w:color w:val="23282D"/>
                <w:sz w:val="21"/>
                <w:szCs w:val="21"/>
              </w:rPr>
              <w:t xml:space="preserve">We organise ourselves around those failure modes. Two decades of watching them happen, at close range, is the main thing we have that other funds do not.</w:t>
            </w:r>
          </w:p>
        </w:tc>
      </w:tr>
    </w:tbl>
    <w:p>
      <w:pPr>
        <w:pStyle w:val="Heading2"/>
        <w:spacing w:after="140" w:before="320"/>
      </w:pPr>
      <w:r>
        <w:rPr>
          <w:rFonts w:ascii="Calibri" w:cs="Calibri" w:eastAsia="Calibri" w:hAnsi="Calibri"/>
          <w:b/>
          <w:bCs/>
          <w:color w:val="14304A"/>
          <w:sz w:val="26"/>
          <w:szCs w:val="26"/>
        </w:rPr>
        <w:t xml:space="preserve">10.2  Pillar one — The ecosystem de-risks before we invest</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01 — WE ARE THE CAPITAL ARM OF THE INCUBATOR</w:t>
            </w:r>
          </w:p>
          <w:p>
            <w:pPr>
              <w:spacing w:after="120" w:line="290"/>
            </w:pPr>
            <w:r>
              <w:rPr>
                <w:rFonts w:ascii="Calibri" w:cs="Calibri" w:eastAsia="Calibri" w:hAnsi="Calibri"/>
                <w:color w:val="23282D"/>
                <w:sz w:val="21"/>
                <w:szCs w:val="21"/>
              </w:rPr>
              <w:t xml:space="preserve">SINE has been building deep tech companies at IIT Bombay since 2004: 532 ventures supported, 1,200+ innovators, 103 companies currently incubated, around 300 IP assets generated.</w:t>
            </w:r>
          </w:p>
          <w:p>
            <w:pPr>
              <w:spacing w:after="120" w:line="290"/>
            </w:pPr>
            <w:r>
              <w:rPr>
                <w:rFonts w:ascii="Calibri" w:cs="Calibri" w:eastAsia="Calibri" w:hAnsi="Calibri"/>
                <w:color w:val="23282D"/>
                <w:sz w:val="21"/>
                <w:szCs w:val="21"/>
              </w:rPr>
              <w:t xml:space="preserve">Y-Point is owned by SINE. That is not a partnership announcement — it is the ownership structure. In practice it means our companies reach us having already used infrastructure most startups never see: specialised bio-labs, electronics and prototyping facilities, metalworking for advanced manufacturing, and privileged access to IIT Bombay's research laboratories and equipment.</w:t>
            </w:r>
          </w:p>
          <w:p>
            <w:pPr>
              <w:spacing w:after="120" w:line="290"/>
            </w:pPr>
            <w:r>
              <w:rPr>
                <w:rFonts w:ascii="Calibri" w:cs="Calibri" w:eastAsia="Calibri" w:hAnsi="Calibri"/>
                <w:color w:val="23282D"/>
                <w:sz w:val="21"/>
                <w:szCs w:val="21"/>
              </w:rPr>
              <w:t xml:space="preserve">It also means the intellectual property question is handled properly, early. Clean IP transfer and licensing runs through the Dean R&amp;D office under formalised equity structures. The single most common way an academic spinout damages itself is by getting that assignment wrong at the start, and it is the one problem we can solve before it becomes expensive.</w:t>
            </w:r>
          </w:p>
          <w:p>
            <w:pPr>
              <w:spacing w:after="0" w:line="290"/>
            </w:pPr>
            <w:r>
              <w:rPr>
                <w:rFonts w:ascii="Calibri" w:cs="Calibri" w:eastAsia="Calibri" w:hAnsi="Calibri"/>
                <w:color w:val="23282D"/>
                <w:sz w:val="21"/>
                <w:szCs w:val="21"/>
              </w:rPr>
              <w:t xml:space="preserve">SINE's own funding ladder does the work before us: Institute of Eminence and entrepreneur-in-residence grants, translational grants, and scale-up seed funding move a venture from TRL 3 toward TRL 7 without taking venture equity. By the time we write a cheque, the science question is largely answered.</w:t>
            </w:r>
          </w:p>
        </w:tc>
      </w:tr>
    </w:tbl>
    <w:p>
      <w:pPr>
        <w:pStyle w:val="Heading2"/>
        <w:spacing w:after="140" w:before="320"/>
      </w:pPr>
      <w:r>
        <w:rPr>
          <w:rFonts w:ascii="Calibri" w:cs="Calibri" w:eastAsia="Calibri" w:hAnsi="Calibri"/>
          <w:b/>
          <w:bCs/>
          <w:color w:val="14304A"/>
          <w:sz w:val="26"/>
          <w:szCs w:val="26"/>
        </w:rPr>
        <w:t xml:space="preserve">10.3  Pillar two — Diligence that reads a test report</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02 — WE UNDERWRITE TECHNOLOGY, NOT TRACTION</w:t>
            </w:r>
          </w:p>
          <w:p>
            <w:pPr>
              <w:spacing w:after="120" w:line="290"/>
            </w:pPr>
            <w:r>
              <w:rPr>
                <w:rFonts w:ascii="Calibri" w:cs="Calibri" w:eastAsia="Calibri" w:hAnsi="Calibri"/>
                <w:color w:val="23282D"/>
                <w:sz w:val="21"/>
                <w:szCs w:val="21"/>
              </w:rPr>
              <w:t xml:space="preserve">Most investors ask for traction. At TRL 5 there is often no traction to discuss, so the question is either answered dishonestly or the meeting ends.</w:t>
            </w:r>
          </w:p>
          <w:p>
            <w:pPr>
              <w:spacing w:after="120" w:line="290"/>
            </w:pPr>
            <w:r>
              <w:rPr>
                <w:rFonts w:ascii="Calibri" w:cs="Calibri" w:eastAsia="Calibri" w:hAnsi="Calibri"/>
                <w:color w:val="23282D"/>
                <w:sz w:val="21"/>
                <w:szCs w:val="21"/>
              </w:rPr>
              <w:t xml:space="preserve">We assess the technology directly. Detailed diligence includes independent expert validation of the technology, the IP, the TRL claim, scalability and the surrounding IP landscape — drawn from IIT Bombay faculty and from operators who have built the same class of system. We work through the characterisation data, the failure modes, the scale-up assumptions and the parts of the design that are not settled.</w:t>
            </w:r>
          </w:p>
          <w:p>
            <w:pPr>
              <w:spacing w:after="0" w:line="290"/>
            </w:pPr>
            <w:r>
              <w:rPr>
                <w:rFonts w:ascii="Calibri" w:cs="Calibri" w:eastAsia="Calibri" w:hAnsi="Calibri"/>
                <w:color w:val="23282D"/>
                <w:sz w:val="21"/>
                <w:szCs w:val="21"/>
              </w:rPr>
              <w:t xml:space="preserve">Founders consistently tell us this is the most useful part of our process, including the ones we decline. We think that is the right outcome. A fast, well-reasoned no is worth more to a founder than a slow maybe.</w:t>
            </w:r>
          </w:p>
        </w:tc>
      </w:tr>
    </w:tbl>
    <w:p>
      <w:pPr>
        <w:pStyle w:val="Heading2"/>
        <w:spacing w:after="140" w:before="320"/>
      </w:pPr>
      <w:r>
        <w:rPr>
          <w:rFonts w:ascii="Calibri" w:cs="Calibri" w:eastAsia="Calibri" w:hAnsi="Calibri"/>
          <w:b/>
          <w:bCs/>
          <w:color w:val="14304A"/>
          <w:sz w:val="26"/>
          <w:szCs w:val="26"/>
        </w:rPr>
        <w:t xml:space="preserve">10.4  Pillar three — An investment committee that has built this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03 — THE PEOPLE WHO DECIDE HAVE DONE THE WORK</w:t>
            </w:r>
          </w:p>
          <w:p>
            <w:pPr>
              <w:spacing w:after="120" w:line="290"/>
            </w:pPr>
            <w:r>
              <w:rPr>
                <w:rFonts w:ascii="Calibri" w:cs="Calibri" w:eastAsia="Calibri" w:hAnsi="Calibri"/>
                <w:color w:val="23282D"/>
                <w:sz w:val="21"/>
                <w:szCs w:val="21"/>
              </w:rPr>
              <w:t xml:space="preserve">Our six-member investment committee brings more than 110 years of combined experience across investment management, space, defence, advanced materials, manufacturing and biotechnology.</w:t>
            </w:r>
          </w:p>
          <w:p>
            <w:pPr>
              <w:spacing w:after="120" w:line="290"/>
            </w:pPr>
            <w:r>
              <w:rPr>
                <w:rFonts w:ascii="Calibri" w:cs="Calibri" w:eastAsia="Calibri" w:hAnsi="Calibri"/>
                <w:color w:val="23282D"/>
                <w:sz w:val="21"/>
                <w:szCs w:val="21"/>
              </w:rPr>
              <w:t xml:space="preserve">It includes a former Associate Director at ISRO's Satish Dhawan Space Centre who contributed to Chandrayaan-1 and Mangalyaan; a co-creator of the iDEX initiative who served as a Director in the Ministry of Defence Production; the former Managing Director of AstraZeneca India, who led development of the company's first anti-TB molecule; and two general partners running active early-stage venture funds.</w:t>
            </w:r>
          </w:p>
          <w:p>
            <w:pPr>
              <w:spacing w:after="0" w:line="290"/>
            </w:pPr>
            <w:r>
              <w:rPr>
                <w:rFonts w:ascii="Calibri" w:cs="Calibri" w:eastAsia="Calibri" w:hAnsi="Calibri"/>
                <w:color w:val="23282D"/>
                <w:sz w:val="21"/>
                <w:szCs w:val="21"/>
              </w:rPr>
              <w:t xml:space="preserve">For a founder, this is not a governance detail. It means the person assessing your propulsion architecture has qualified one, and the person assessing your procurement plan helped design the programme you are applying to.</w:t>
            </w:r>
          </w:p>
        </w:tc>
      </w:tr>
    </w:tbl>
    <w:p>
      <w:pPr>
        <w:pStyle w:val="Heading2"/>
        <w:spacing w:after="140" w:before="320"/>
      </w:pPr>
      <w:r>
        <w:rPr>
          <w:rFonts w:ascii="Calibri" w:cs="Calibri" w:eastAsia="Calibri" w:hAnsi="Calibri"/>
          <w:b/>
          <w:bCs/>
          <w:color w:val="14304A"/>
          <w:sz w:val="26"/>
          <w:szCs w:val="26"/>
        </w:rPr>
        <w:t xml:space="preserve">10.5  Pillar four — The first customer, and the round after ours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04 — THE HARDEST SALE IS THE FIRST ONE</w:t>
            </w:r>
          </w:p>
          <w:p>
            <w:pPr>
              <w:spacing w:after="120" w:line="290"/>
            </w:pPr>
            <w:r>
              <w:rPr>
                <w:rFonts w:ascii="Calibri" w:cs="Calibri" w:eastAsia="Calibri" w:hAnsi="Calibri"/>
                <w:color w:val="23282D"/>
                <w:sz w:val="21"/>
                <w:szCs w:val="21"/>
              </w:rPr>
              <w:t xml:space="preserve">A deep tech company's first customer is rarely won on product quality. It is won on someone being willing to take a risk on an unproven supplier, which is a trust problem before it is a technical one.</w:t>
            </w:r>
          </w:p>
          <w:p>
            <w:pPr>
              <w:spacing w:after="120" w:line="290"/>
            </w:pPr>
            <w:r>
              <w:rPr>
                <w:rFonts w:ascii="Calibri" w:cs="Calibri" w:eastAsia="Calibri" w:hAnsi="Calibri"/>
                <w:color w:val="23282D"/>
                <w:sz w:val="21"/>
                <w:szCs w:val="21"/>
              </w:rPr>
              <w:t xml:space="preserve">We open doors into IIT Bombay's industry relationships, its network of 25+ industry partners, public sector and policy channels, and an alumni network of more than 65,000 people. Where it helps, we put institutional weight behind an introduction a two-person startup could not make alone.</w:t>
            </w:r>
          </w:p>
          <w:p>
            <w:pPr>
              <w:spacing w:after="120" w:line="290"/>
            </w:pPr>
            <w:r>
              <w:rPr>
                <w:rFonts w:ascii="Calibri" w:cs="Calibri" w:eastAsia="Calibri" w:hAnsi="Calibri"/>
                <w:color w:val="23282D"/>
                <w:sz w:val="21"/>
                <w:szCs w:val="21"/>
              </w:rPr>
              <w:t xml:space="preserve">We also work on the round after ours from the day we invest — syndicating follow-on funding with growth investors, and using the relationships SINE has built with more than 100 investors over two decades. Around 40% of the fund is reserved for follow-on, allocated to companies that clear pre-agreed technical and commercial milestones. We tell you what those milestones are when we invest, not when we decline to re-up.</w:t>
            </w:r>
          </w:p>
          <w:p>
            <w:pPr>
              <w:spacing w:after="0" w:line="290"/>
            </w:pPr>
            <w:r>
              <w:rPr>
                <w:rFonts w:ascii="Calibri" w:cs="Calibri" w:eastAsia="Calibri" w:hAnsi="Calibri"/>
                <w:color w:val="23282D"/>
                <w:sz w:val="21"/>
                <w:szCs w:val="21"/>
              </w:rPr>
              <w:t xml:space="preserve">And we will tell you when we cannot help. A network claim that cannot be cashed is worse than no claim.</w:t>
            </w:r>
          </w:p>
        </w:tc>
      </w:tr>
    </w:tbl>
    <w:p>
      <w:pPr>
        <w:pStyle w:val="Heading2"/>
        <w:spacing w:after="140" w:before="320"/>
      </w:pPr>
      <w:r>
        <w:rPr>
          <w:rFonts w:ascii="Calibri" w:cs="Calibri" w:eastAsia="Calibri" w:hAnsi="Calibri"/>
          <w:b/>
          <w:bCs/>
          <w:color w:val="14304A"/>
          <w:sz w:val="26"/>
          <w:szCs w:val="26"/>
        </w:rPr>
        <w:t xml:space="preserve">10.6  What we ask in return</w:t>
      </w:r>
    </w:p>
    <w:p>
      <w:pPr>
        <w:spacing w:after="140" w:line="290"/>
      </w:pPr>
      <w:r>
        <w:rPr>
          <w:rFonts w:ascii="Calibri" w:cs="Calibri" w:eastAsia="Calibri" w:hAnsi="Calibri"/>
          <w:b w:val="false"/>
          <w:bCs w:val="false"/>
          <w:i/>
          <w:iCs/>
          <w:color w:val="5A6472"/>
          <w:sz w:val="19"/>
          <w:szCs w:val="19"/>
        </w:rPr>
        <w:t xml:space="preserve">Unusual, and worth including. It signals obligations in both directions, which is credible to sophisticated founders and reassuring to LPs reading the same page.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WHAT WE ASK IN RETURN</w:t>
            </w:r>
          </w:p>
          <w:p>
            <w:pPr>
              <w:spacing w:after="120" w:line="290"/>
            </w:pPr>
            <w:r>
              <w:rPr>
                <w:rFonts w:ascii="Calibri" w:cs="Calibri" w:eastAsia="Calibri" w:hAnsi="Calibri"/>
                <w:color w:val="23282D"/>
                <w:sz w:val="21"/>
                <w:szCs w:val="21"/>
              </w:rPr>
              <w:t xml:space="preserve">Bad news early. We have never once been able to help more by hearing about a problem later.</w:t>
            </w:r>
          </w:p>
          <w:p>
            <w:pPr>
              <w:spacing w:after="120" w:line="290"/>
            </w:pPr>
            <w:r>
              <w:rPr>
                <w:rFonts w:ascii="Calibri" w:cs="Calibri" w:eastAsia="Calibri" w:hAnsi="Calibri"/>
                <w:color w:val="23282D"/>
                <w:sz w:val="21"/>
                <w:szCs w:val="21"/>
              </w:rPr>
              <w:t xml:space="preserve">Technical honesty. Tell us what is not working. We have already assumed something is.</w:t>
            </w:r>
          </w:p>
          <w:p>
            <w:pPr>
              <w:spacing w:after="120" w:line="290"/>
            </w:pPr>
            <w:r>
              <w:rPr>
                <w:rFonts w:ascii="Calibri" w:cs="Calibri" w:eastAsia="Calibri" w:hAnsi="Calibri"/>
                <w:color w:val="23282D"/>
                <w:sz w:val="21"/>
                <w:szCs w:val="21"/>
              </w:rPr>
              <w:t xml:space="preserve">Reporting we can use — a short, regular, truthful update beats a polished quarterly deck.</w:t>
            </w:r>
          </w:p>
          <w:p>
            <w:pPr>
              <w:spacing w:after="0" w:line="290"/>
            </w:pPr>
            <w:r>
              <w:rPr>
                <w:rFonts w:ascii="Calibri" w:cs="Calibri" w:eastAsia="Calibri" w:hAnsi="Calibri"/>
                <w:color w:val="23282D"/>
                <w:sz w:val="21"/>
                <w:szCs w:val="21"/>
              </w:rPr>
              <w:t xml:space="preserve">That you treat the ecosystem as a resource rather than an entitlement. It was built over two decades by people who are still in it.</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11  Lab to Market</w:t>
      </w:r>
    </w:p>
    <w:p>
      <w:pPr>
        <w:spacing w:after="140" w:line="290"/>
      </w:pPr>
      <w:r>
        <w:rPr>
          <w:rFonts w:ascii="Calibri" w:cs="Calibri" w:eastAsia="Calibri" w:hAnsi="Calibri"/>
          <w:b w:val="false"/>
          <w:bCs w:val="false"/>
          <w:i w:val="false"/>
          <w:iCs w:val="false"/>
          <w:color w:val="23282D"/>
          <w:sz w:val="21"/>
          <w:szCs w:val="21"/>
        </w:rPr>
        <w:t xml:space="preserve">This page exists for the researcher audience — the professor, post-doc or PhD student who has a technology but not a company. It is the most shareable asset on the site and will be reused in LP conversations, SINE programming and conference material. Build the central graphic to publication quality.</w:t>
      </w:r>
    </w:p>
    <w:p>
      <w:pPr>
        <w:spacing w:after="16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AN HONEST FRAMING DECISION</w:t>
            </w:r>
          </w:p>
          <w:p>
            <w:pPr>
              <w:spacing w:after="120" w:line="290"/>
            </w:pPr>
            <w:r>
              <w:rPr>
                <w:rFonts w:ascii="Calibri" w:cs="Calibri" w:eastAsia="Calibri" w:hAnsi="Calibri"/>
                <w:color w:val="23282D"/>
                <w:sz w:val="21"/>
                <w:szCs w:val="21"/>
              </w:rPr>
              <w:t xml:space="preserve">Y-Point enters at TRL 4–7. A researcher at TRL 2 is not fundable by this fund, and the page should say so plainly rather than implying otherwise to harvest an email address.</w:t>
            </w:r>
          </w:p>
          <w:p>
            <w:pPr>
              <w:spacing w:after="0" w:line="290"/>
            </w:pPr>
            <w:r>
              <w:rPr>
                <w:rFonts w:ascii="Calibri" w:cs="Calibri" w:eastAsia="Calibri" w:hAnsi="Calibri"/>
                <w:color w:val="23282D"/>
                <w:sz w:val="21"/>
                <w:szCs w:val="21"/>
              </w:rPr>
              <w:t xml:space="preserve">That honesty is the point. The right message is: SINE is your first stop, here is what it offers, here is what you need to have done before venture capital is the right instrument, and here is what we look for when you get there. A researcher who is told the truth at TRL 2 comes back at TRL 5 — and comes back to us first.</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11.1  Page hero</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FROM THE LAB BENCH TO THE MARKET</w:t>
            </w:r>
          </w:p>
          <w:p>
            <w:pPr>
              <w:spacing w:after="120" w:line="290"/>
            </w:pPr>
            <w:r>
              <w:rPr>
                <w:rFonts w:ascii="Calibri" w:cs="Calibri" w:eastAsia="Calibri" w:hAnsi="Calibri"/>
                <w:color w:val="23282D"/>
                <w:sz w:val="21"/>
                <w:szCs w:val="21"/>
              </w:rPr>
              <w:t xml:space="preserve">A practical map of what happens between a working result and a company — and which kind of money actually helps at each stage.</w:t>
            </w:r>
          </w:p>
          <w:p>
            <w:pPr>
              <w:spacing w:after="0" w:line="290"/>
            </w:pPr>
            <w:r>
              <w:rPr>
                <w:rFonts w:ascii="Calibri" w:cs="Calibri" w:eastAsia="Calibri" w:hAnsi="Calibri"/>
                <w:color w:val="23282D"/>
                <w:sz w:val="21"/>
                <w:szCs w:val="21"/>
              </w:rPr>
              <w:t xml:space="preserve">If you have a technology and are wondering whether it is a company, this page is written for you. You do not need to have incorporated anything, raised anything, or decided anything yet. You may well not need venture capital for another two years, and this page will tell you that too.</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11.2  The central graphic — where institutional capital actually enters</w:t>
      </w:r>
    </w:p>
    <w:p>
      <w:pPr>
        <w:spacing w:after="140" w:line="290"/>
      </w:pPr>
      <w:r>
        <w:rPr>
          <w:rFonts w:ascii="Calibri" w:cs="Calibri" w:eastAsia="Calibri" w:hAnsi="Calibri"/>
          <w:b w:val="false"/>
          <w:bCs w:val="false"/>
          <w:i/>
          <w:iCs/>
          <w:color w:val="5A6472"/>
          <w:sz w:val="19"/>
          <w:szCs w:val="19"/>
        </w:rPr>
        <w:t xml:space="preserve">A horizontal band across TRL 1–9 with the 4–7 zone visually emphasised as Y-Point's entry. Each stage carries: what exists, the dominant risk, the capital that fits, and who actually invests there today. Figures below are indicative and drawn from the Fund's own internal assessment — label them as such on the page.</w:t>
      </w:r>
    </w:p>
    <w:p>
      <w:pPr>
        <w:spacing w:after="14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100"/>
        <w:gridCol w:w="2100"/>
        <w:gridCol w:w="2000"/>
        <w:gridCol w:w="1900"/>
        <w:gridCol w:w="2260"/>
      </w:tblGrid>
      <w:tr>
        <w:trPr>
          <w:tblHeader/>
        </w:trPr>
        <w:tc>
          <w:tcPr>
            <w:tcW w:type="dxa" w:w="1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TRL</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Company stage</w:t>
            </w:r>
          </w:p>
        </w:tc>
        <w:tc>
          <w:tcPr>
            <w:tcW w:type="dxa" w:w="2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Dominant risk</w:t>
            </w:r>
          </w:p>
        </w:tc>
        <w:tc>
          <w:tcPr>
            <w:tcW w:type="dxa" w:w="19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Capital that fits</w:t>
            </w:r>
          </w:p>
        </w:tc>
        <w:tc>
          <w:tcPr>
            <w:tcW w:type="dxa" w:w="22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Who invests here today</w:t>
            </w:r>
          </w:p>
        </w:tc>
      </w:tr>
      <w:tr>
        <w:trPr>
          <w:cantSplit/>
        </w:trPr>
        <w:tc>
          <w:tcPr>
            <w:tcW w:type="dxa" w:w="1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1–3</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Fundamental and translational research</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Science risk</w:t>
            </w:r>
          </w:p>
        </w:tc>
        <w:tc>
          <w:tcPr>
            <w:tcW w:type="dxa" w:w="1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Grants (under ₹2 Cr)</w:t>
            </w:r>
          </w:p>
        </w:tc>
        <w:tc>
          <w:tcPr>
            <w:tcW w:type="dxa" w:w="2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Grant bodies and incubators. Not venture capital, and it should not pretend to be.</w:t>
            </w:r>
          </w:p>
        </w:tc>
      </w:tr>
      <w:tr>
        <w:trPr>
          <w:cantSplit/>
        </w:trPr>
        <w:tc>
          <w:tcPr>
            <w:tcW w:type="dxa" w:w="1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4–5</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Concept validation, prototyping, initial pilots</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Science plus engineering risk</w:t>
            </w:r>
          </w:p>
        </w:tc>
        <w:tc>
          <w:tcPr>
            <w:tcW w:type="dxa" w:w="1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Pre-seed and seed (₹1–10 Cr)</w:t>
            </w:r>
          </w:p>
        </w:tc>
        <w:tc>
          <w:tcPr>
            <w:tcW w:type="dxa" w:w="2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Very few institutional investors. This is where Y-Point enters.</w:t>
            </w:r>
          </w:p>
        </w:tc>
      </w:tr>
      <w:tr>
        <w:trPr>
          <w:cantSplit/>
        </w:trPr>
        <w:tc>
          <w:tcPr>
            <w:tcW w:type="dxa" w:w="1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6–7</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Pilots, early orders, initial manufacturing setup</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Engineering risk</w:t>
            </w:r>
          </w:p>
        </w:tc>
        <w:tc>
          <w:tcPr>
            <w:tcW w:type="dxa" w:w="1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Pre-Series A (₹10–25 Cr)</w:t>
            </w:r>
          </w:p>
        </w:tc>
        <w:tc>
          <w:tcPr>
            <w:tcW w:type="dxa" w:w="22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handful of specialist deep tech funds. Y-Point follow-on.</w:t>
            </w:r>
          </w:p>
        </w:tc>
      </w:tr>
      <w:tr>
        <w:trPr>
          <w:cantSplit/>
        </w:trPr>
        <w:tc>
          <w:tcPr>
            <w:tcW w:type="dxa" w:w="1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8–9</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Manufacturing scale-up and market expansion</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Execution risk</w:t>
            </w:r>
          </w:p>
        </w:tc>
        <w:tc>
          <w:tcPr>
            <w:tcW w:type="dxa" w:w="1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Series A and beyond (over ₹25 Cr)</w:t>
            </w:r>
          </w:p>
        </w:tc>
        <w:tc>
          <w:tcPr>
            <w:tcW w:type="dxa" w:w="22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Most venture funds enter here, once both prior risks are retired.</w:t>
            </w:r>
          </w:p>
        </w:tc>
      </w:tr>
    </w:tbl>
    <w:p>
      <w:pPr>
        <w:spacing w:after="18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THE LINE THAT SHOULD SIT UNDER THE GRAPHIC</w:t>
            </w:r>
          </w:p>
          <w:p>
            <w:pPr>
              <w:spacing w:after="0" w:line="290"/>
            </w:pPr>
            <w:r>
              <w:rPr>
                <w:rFonts w:ascii="Calibri" w:cs="Calibri" w:eastAsia="Calibri" w:hAnsi="Calibri"/>
                <w:color w:val="23282D"/>
                <w:sz w:val="21"/>
                <w:szCs w:val="21"/>
              </w:rPr>
              <w:t xml:space="preserve">Very few institutional funds operate at TRL 4–7. Most enter only after TRL 7, once science and engineering risk have already been retired by somebody else. Y-Point, housed inside SINE's de-risking infrastructure, is built to underwrite that risk and invest a full stage earlier — at pre-seed and seed.</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11.3  The five questions before you incorporate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01  Who owns the intellectual property? If the work was done on institute time, with institute facilities or under institute funding, the answer is probably not simply "you", and it must be settled in writing before you take outside money. At IIT Bombay this runs through the Dean R&amp;D office and there is a formalised process. Use it early. This is the most common and most expensive mistake in Indian academic spinouts.</w:t>
            </w:r>
          </w:p>
          <w:p>
            <w:pPr>
              <w:spacing w:after="120" w:line="290"/>
            </w:pPr>
            <w:r>
              <w:rPr>
                <w:rFonts w:ascii="Calibri" w:cs="Calibri" w:eastAsia="Calibri" w:hAnsi="Calibri"/>
                <w:color w:val="23282D"/>
                <w:sz w:val="21"/>
                <w:szCs w:val="21"/>
              </w:rPr>
              <w:t xml:space="preserve">02  Who is actually going to run this? A technology needs an owner whose full-time job it is. If every founder intends to keep an academic position, say so early — it is solvable, but not at term sheet stage.</w:t>
            </w:r>
          </w:p>
          <w:p>
            <w:pPr>
              <w:spacing w:after="120" w:line="290"/>
            </w:pPr>
            <w:r>
              <w:rPr>
                <w:rFonts w:ascii="Calibri" w:cs="Calibri" w:eastAsia="Calibri" w:hAnsi="Calibri"/>
                <w:color w:val="23282D"/>
                <w:sz w:val="21"/>
                <w:szCs w:val="21"/>
              </w:rPr>
              <w:t xml:space="preserve">03  What is the first thing you can sell? Not the vision. The first invoice. In deep tech it is often a component, a licence, a characterisation service or a test rather than the finished system.</w:t>
            </w:r>
          </w:p>
          <w:p>
            <w:pPr>
              <w:spacing w:after="120" w:line="290"/>
            </w:pPr>
            <w:r>
              <w:rPr>
                <w:rFonts w:ascii="Calibri" w:cs="Calibri" w:eastAsia="Calibri" w:hAnsi="Calibri"/>
                <w:color w:val="23282D"/>
                <w:sz w:val="21"/>
                <w:szCs w:val="21"/>
              </w:rPr>
              <w:t xml:space="preserve">04  How much capital does it take to find out if this works? Deep tech requirements are front-loaded and lumpy. Estimate the number, then work out what happens if the milestone slips two quarters, because it will.</w:t>
            </w:r>
          </w:p>
          <w:p>
            <w:pPr>
              <w:spacing w:after="0" w:line="290"/>
            </w:pPr>
            <w:r>
              <w:rPr>
                <w:rFonts w:ascii="Calibri" w:cs="Calibri" w:eastAsia="Calibri" w:hAnsi="Calibri"/>
                <w:color w:val="23282D"/>
                <w:sz w:val="21"/>
                <w:szCs w:val="21"/>
              </w:rPr>
              <w:t xml:space="preserve">05  What would make you stop? A pre-agreed kill criterion is a sign of seriousness, not pessimism. Founders who have one raise more easily than founders who do not.</w:t>
            </w:r>
          </w:p>
        </w:tc>
      </w:tr>
    </w:tbl>
    <w:p>
      <w:pPr>
        <w:spacing w:after="180"/>
      </w:pPr>
      <w:r>
        <w:t xml:space="preserve"/>
      </w:r>
    </w:p>
    <w:p>
      <w:pPr>
        <w:pStyle w:val="Heading2"/>
        <w:spacing w:after="140" w:before="320"/>
      </w:pPr>
      <w:r>
        <w:rPr>
          <w:rFonts w:ascii="Calibri" w:cs="Calibri" w:eastAsia="Calibri" w:hAnsi="Calibri"/>
          <w:b/>
          <w:bCs/>
          <w:color w:val="14304A"/>
          <w:sz w:val="26"/>
          <w:szCs w:val="26"/>
        </w:rPr>
        <w:t xml:space="preserve">11.4  Closing CTA</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Not ready to raise? Talk to us anyway.</w:t>
            </w:r>
          </w:p>
          <w:p>
            <w:pPr>
              <w:spacing w:after="120" w:line="290"/>
            </w:pPr>
            <w:r>
              <w:rPr>
                <w:rFonts w:ascii="Calibri" w:cs="Calibri" w:eastAsia="Calibri" w:hAnsi="Calibri"/>
                <w:color w:val="23282D"/>
                <w:sz w:val="21"/>
                <w:szCs w:val="21"/>
              </w:rPr>
              <w:t xml:space="preserve">Some of the companies we expect to back in three years do not exist yet. We would rather know you at TRL 3 and watch the work than meet you at a competitive Series A.</w:t>
            </w:r>
          </w:p>
          <w:p>
            <w:pPr>
              <w:spacing w:after="0" w:line="290"/>
            </w:pPr>
            <w:r>
              <w:rPr>
                <w:rFonts w:ascii="Calibri" w:cs="Calibri" w:eastAsia="Calibri" w:hAnsi="Calibri"/>
                <w:color w:val="23282D"/>
                <w:sz w:val="21"/>
                <w:szCs w:val="21"/>
              </w:rPr>
              <w:t xml:space="preserve">[ Start a conversation ]   [ Read the Founder's Handbook ]   [ Explore SINE incubation ]</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12  Portfolio</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LAUNCH REALITY</w:t>
            </w:r>
          </w:p>
          <w:p>
            <w:pPr>
              <w:spacing w:after="120" w:line="290"/>
            </w:pPr>
            <w:r>
              <w:rPr>
                <w:rFonts w:ascii="Calibri" w:cs="Calibri" w:eastAsia="Calibri" w:hAnsi="Calibri"/>
                <w:color w:val="23282D"/>
                <w:sz w:val="21"/>
                <w:szCs w:val="21"/>
              </w:rPr>
              <w:t xml:space="preserve">At the time of writing the Fund has one signed term sheet, two deals at IC stage and around ten in pipeline. A portfolio page at launch will therefore have either zero or one company on it.</w:t>
            </w:r>
          </w:p>
          <w:p>
            <w:pPr>
              <w:spacing w:after="120" w:line="290"/>
            </w:pPr>
            <w:r>
              <w:rPr>
                <w:rFonts w:ascii="Calibri" w:cs="Calibri" w:eastAsia="Calibri" w:hAnsi="Calibri"/>
                <w:color w:val="23282D"/>
                <w:sz w:val="21"/>
                <w:szCs w:val="21"/>
              </w:rPr>
              <w:t xml:space="preserve">The recommendation is to build the page, keep it out of the primary navigation until three companies can be named, and replace the nav slot with Platform in the interim. A portfolio page showing one logo invites exactly the question you do not want a founder asking.</w:t>
            </w:r>
          </w:p>
          <w:p>
            <w:pPr>
              <w:spacing w:after="0" w:line="290"/>
            </w:pPr>
            <w:r>
              <w:rPr>
                <w:rFonts w:ascii="Calibri" w:cs="Calibri" w:eastAsia="Calibri" w:hAnsi="Calibri"/>
                <w:color w:val="23282D"/>
                <w:sz w:val="21"/>
                <w:szCs w:val="21"/>
              </w:rPr>
              <w:t xml:space="preserve">Do not fill the gap with SINE heritage companies. That is the confusion Section 4.4 exists to prevent, and a sophisticated LP or co-investor will spot it immediately.</w:t>
            </w:r>
          </w:p>
        </w:tc>
      </w:tr>
    </w:tbl>
    <w:p>
      <w:pPr>
        <w:spacing w:after="20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 — PAGE INTRO, ONCE LIVE</w:t>
            </w:r>
          </w:p>
          <w:p>
            <w:pPr>
              <w:spacing w:after="120" w:line="290"/>
            </w:pPr>
            <w:r>
              <w:rPr>
                <w:rFonts w:ascii="Calibri" w:cs="Calibri" w:eastAsia="Calibri" w:hAnsi="Calibri"/>
                <w:color w:val="23282D"/>
                <w:sz w:val="21"/>
                <w:szCs w:val="21"/>
              </w:rPr>
              <w:t xml:space="preserve">PORTFOLIO</w:t>
            </w:r>
          </w:p>
          <w:p>
            <w:pPr>
              <w:spacing w:after="120" w:line="290"/>
            </w:pPr>
            <w:r>
              <w:rPr>
                <w:rFonts w:ascii="Calibri" w:cs="Calibri" w:eastAsia="Calibri" w:hAnsi="Calibri"/>
                <w:color w:val="23282D"/>
                <w:sz w:val="21"/>
                <w:szCs w:val="21"/>
              </w:rPr>
              <w:t xml:space="preserve">Companies turning research into products.</w:t>
            </w:r>
          </w:p>
          <w:p>
            <w:pPr>
              <w:spacing w:after="0" w:line="290"/>
            </w:pPr>
            <w:r>
              <w:rPr>
                <w:rFonts w:ascii="Calibri" w:cs="Calibri" w:eastAsia="Calibri" w:hAnsi="Calibri"/>
                <w:color w:val="23282D"/>
                <w:sz w:val="21"/>
                <w:szCs w:val="21"/>
              </w:rPr>
              <w:t xml:space="preserve">Every company here started as a technical result that somebody believed could be a business. We invested before that was obvious to anyone else.</w:t>
            </w:r>
          </w:p>
        </w:tc>
      </w:tr>
    </w:tbl>
    <w:p>
      <w:pPr>
        <w:spacing w:after="180"/>
      </w:pPr>
      <w:r>
        <w:t xml:space="preserve"/>
      </w:r>
    </w:p>
    <w:p>
      <w:pPr>
        <w:pStyle w:val="Heading2"/>
        <w:spacing w:after="140" w:before="320"/>
      </w:pPr>
      <w:r>
        <w:rPr>
          <w:rFonts w:ascii="Calibri" w:cs="Calibri" w:eastAsia="Calibri" w:hAnsi="Calibri"/>
          <w:b/>
          <w:bCs/>
          <w:color w:val="14304A"/>
          <w:sz w:val="26"/>
          <w:szCs w:val="26"/>
        </w:rPr>
        <w:t xml:space="preserve">12.1  Structure and behaviour</w:t>
      </w:r>
    </w:p>
    <w:p>
      <w:pPr>
        <w:pStyle w:val="ListParagraph"/>
        <w:numPr>
          <w:ilvl w:val="0"/>
          <w:numId w:val="2"/>
        </w:numPr>
        <w:spacing w:after="80" w:line="285"/>
      </w:pPr>
      <w:r>
        <w:rPr>
          <w:rFonts w:ascii="Calibri" w:cs="Calibri" w:eastAsia="Calibri" w:hAnsi="Calibri"/>
          <w:color w:val="23282D"/>
          <w:sz w:val="21"/>
          <w:szCs w:val="21"/>
        </w:rPr>
        <w:t xml:space="preserve">Filters: Sector (the six verticals), Stage (pre-seed, seed, follow-on), and Institution of origin (IIT Bombay, other institutions).</w:t>
      </w:r>
    </w:p>
    <w:p>
      <w:pPr>
        <w:pStyle w:val="ListParagraph"/>
        <w:numPr>
          <w:ilvl w:val="0"/>
          <w:numId w:val="2"/>
        </w:numPr>
        <w:spacing w:after="80" w:line="285"/>
      </w:pPr>
      <w:r>
        <w:rPr>
          <w:rFonts w:ascii="Calibri" w:cs="Calibri" w:eastAsia="Calibri" w:hAnsi="Calibri"/>
          <w:color w:val="23282D"/>
          <w:sz w:val="21"/>
          <w:szCs w:val="21"/>
        </w:rPr>
        <w:t xml:space="preserve">Institution of origin is a filter a16z has no equivalent for, and it expresses Y-Point's differentiation directly. Include it even at low counts.</w:t>
      </w:r>
    </w:p>
    <w:p>
      <w:pPr>
        <w:pStyle w:val="ListParagraph"/>
        <w:numPr>
          <w:ilvl w:val="0"/>
          <w:numId w:val="2"/>
        </w:numPr>
        <w:spacing w:after="80" w:line="285"/>
      </w:pPr>
      <w:r>
        <w:rPr>
          <w:rFonts w:ascii="Calibri" w:cs="Calibri" w:eastAsia="Calibri" w:hAnsi="Calibri"/>
          <w:color w:val="23282D"/>
          <w:sz w:val="21"/>
          <w:szCs w:val="21"/>
        </w:rPr>
        <w:t xml:space="preserve">Suppress filters entirely until there are at least twelve companies. Below that, filters make the portfolio look smaller than it is.</w:t>
      </w:r>
    </w:p>
    <w:p>
      <w:pPr>
        <w:pStyle w:val="ListParagraph"/>
        <w:numPr>
          <w:ilvl w:val="0"/>
          <w:numId w:val="2"/>
        </w:numPr>
        <w:spacing w:after="80" w:line="285"/>
      </w:pPr>
      <w:r>
        <w:rPr>
          <w:rFonts w:ascii="Calibri" w:cs="Calibri" w:eastAsia="Calibri" w:hAnsi="Calibri"/>
          <w:color w:val="23282D"/>
          <w:sz w:val="21"/>
          <w:szCs w:val="21"/>
        </w:rPr>
        <w:t xml:space="preserve">Card contents: logo, name, one-line description, sector tag, stage tag. No valuations, no round sizes, no markups — see Section 4.2.</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12.2  Disclosure gate</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PROCESS REQUIREMENT</w:t>
            </w:r>
          </w:p>
          <w:p>
            <w:pPr>
              <w:spacing w:after="120" w:line="290"/>
            </w:pPr>
            <w:r>
              <w:rPr>
                <w:rFonts w:ascii="Calibri" w:cs="Calibri" w:eastAsia="Calibri" w:hAnsi="Calibri"/>
                <w:color w:val="23282D"/>
                <w:sz w:val="21"/>
                <w:szCs w:val="21"/>
              </w:rPr>
              <w:t xml:space="preserve">No company appears on this page without written consent on file. Where Y-Point is a junior or co-investor, the lead investor may have its own announcement timing and the company may have publicity restrictions in its shareholders' agreement. This has already been a live issue on at least one transaction.</w:t>
            </w:r>
          </w:p>
          <w:p>
            <w:pPr>
              <w:spacing w:after="120" w:line="290"/>
            </w:pPr>
            <w:r>
              <w:rPr>
                <w:rFonts w:ascii="Calibri" w:cs="Calibri" w:eastAsia="Calibri" w:hAnsi="Calibri"/>
                <w:color w:val="23282D"/>
                <w:sz w:val="21"/>
                <w:szCs w:val="21"/>
              </w:rPr>
              <w:t xml:space="preserve">Required before any logo goes live: written consent from the company; confirmation that no publicity or confidentiality clause in the investment documentation is breached; the company's own approved one-line description; and a current logo file.</w:t>
            </w:r>
          </w:p>
          <w:p>
            <w:pPr>
              <w:spacing w:after="0" w:line="290"/>
            </w:pPr>
            <w:r>
              <w:rPr>
                <w:rFonts w:ascii="Calibri" w:cs="Calibri" w:eastAsia="Calibri" w:hAnsi="Calibri"/>
                <w:color w:val="23282D"/>
                <w:sz w:val="21"/>
                <w:szCs w:val="21"/>
              </w:rPr>
              <w:t xml:space="preserve">Maintain a consent register alongside the portfolio and review it quarterly. This is a compliance record, not an administrative nicety.</w:t>
            </w:r>
          </w:p>
        </w:tc>
      </w:tr>
    </w:tbl>
    <w:p>
      <w:pPr>
        <w:spacing w:after="180"/>
      </w:pPr>
      <w:r>
        <w:t xml:space="preserve"/>
      </w:r>
    </w:p>
    <w:p>
      <w:pPr>
        <w:pStyle w:val="Heading2"/>
        <w:spacing w:after="140" w:before="320"/>
      </w:pPr>
      <w:r>
        <w:rPr>
          <w:rFonts w:ascii="Calibri" w:cs="Calibri" w:eastAsia="Calibri" w:hAnsi="Calibri"/>
          <w:b/>
          <w:bCs/>
          <w:color w:val="14304A"/>
          <w:sz w:val="26"/>
          <w:szCs w:val="26"/>
        </w:rPr>
        <w:t xml:space="preserve">12.3  Card template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TEMPLATE</w:t>
            </w:r>
          </w:p>
          <w:p>
            <w:pPr>
              <w:spacing w:after="120" w:line="290"/>
            </w:pPr>
            <w:r>
              <w:rPr>
                <w:rFonts w:ascii="Calibri" w:cs="Calibri" w:eastAsia="Calibri" w:hAnsi="Calibri"/>
                <w:color w:val="23282D"/>
                <w:sz w:val="21"/>
                <w:szCs w:val="21"/>
              </w:rPr>
              <w:t xml:space="preserve">[Company name]</w:t>
            </w:r>
          </w:p>
          <w:p>
            <w:pPr>
              <w:spacing w:after="120" w:line="290"/>
            </w:pPr>
            <w:r>
              <w:rPr>
                <w:rFonts w:ascii="Calibri" w:cs="Calibri" w:eastAsia="Calibri" w:hAnsi="Calibri"/>
                <w:color w:val="23282D"/>
                <w:sz w:val="21"/>
                <w:szCs w:val="21"/>
              </w:rPr>
              <w:t xml:space="preserve">[One line, twelve words maximum, describing what it makes — not the vision. Company-approved.]</w:t>
            </w:r>
          </w:p>
          <w:p>
            <w:pPr>
              <w:spacing w:after="0" w:line="290"/>
            </w:pPr>
            <w:r>
              <w:rPr>
                <w:rFonts w:ascii="Calibri" w:cs="Calibri" w:eastAsia="Calibri" w:hAnsi="Calibri"/>
                <w:color w:val="23282D"/>
                <w:sz w:val="21"/>
                <w:szCs w:val="21"/>
              </w:rPr>
              <w:t xml:space="preserve">Sector: [vertical]  ·  Stage: [pre-seed / seed]  ·  Origin: [institution]</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13  Insights and the Deep Tech Founder's Handbook</w:t>
      </w:r>
    </w:p>
    <w:p>
      <w:pPr>
        <w:pStyle w:val="Heading2"/>
        <w:spacing w:after="140" w:before="320"/>
      </w:pPr>
      <w:r>
        <w:rPr>
          <w:rFonts w:ascii="Calibri" w:cs="Calibri" w:eastAsia="Calibri" w:hAnsi="Calibri"/>
          <w:b/>
          <w:bCs/>
          <w:color w:val="14304A"/>
          <w:sz w:val="26"/>
          <w:szCs w:val="26"/>
        </w:rPr>
        <w:t xml:space="preserve">13.1  Three streams, three jobs</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000"/>
        <w:gridCol w:w="2600"/>
        <w:gridCol w:w="2100"/>
        <w:gridCol w:w="2660"/>
      </w:tblGrid>
      <w:tr>
        <w:trPr>
          <w:tblHeader/>
        </w:trPr>
        <w:tc>
          <w:tcPr>
            <w:tcW w:type="dxa" w:w="2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Stream</w:t>
            </w:r>
          </w:p>
        </w:tc>
        <w:tc>
          <w:tcPr>
            <w:tcW w:type="dxa" w:w="26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What it is</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Cadence</w:t>
            </w:r>
          </w:p>
        </w:tc>
        <w:tc>
          <w:tcPr>
            <w:tcW w:type="dxa" w:w="26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Why it exists</w:t>
            </w:r>
          </w:p>
        </w:tc>
      </w:tr>
      <w:tr>
        <w:trPr>
          <w:cantSplit/>
        </w:trPr>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Perspectives</w:t>
            </w:r>
          </w:p>
        </w:tc>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Partner essays taking a position on a sector, a market structure or a policy shift.</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Monthly</w:t>
            </w:r>
          </w:p>
        </w:tc>
        <w:tc>
          <w:tcPr>
            <w:tcW w:type="dxa" w:w="2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Demonstrates thinking quality to founders, LPs and co-investors. The thesis, evidenced.</w:t>
            </w:r>
          </w:p>
        </w:tc>
      </w:tr>
      <w:tr>
        <w:trPr>
          <w:cantSplit/>
        </w:trPr>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 Tech Founder's Handbook</w:t>
            </w:r>
          </w:p>
        </w:tc>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Evergreen practical primers on the mechanics of building a deep tech company in India.</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One per month for six months, then as needed</w:t>
            </w:r>
          </w:p>
        </w:tc>
        <w:tc>
          <w:tcPr>
            <w:tcW w:type="dxa" w:w="2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Inbound magnet and the researcher audience's entry point. Highest return on effort of anything on the site.</w:t>
            </w:r>
          </w:p>
        </w:tc>
      </w:tr>
      <w:tr>
        <w:trPr>
          <w:cantSplit/>
        </w:trPr>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News &amp; Announcements</w:t>
            </w:r>
          </w:p>
        </w:tc>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Investments, portfolio milestones, fund news, press coverage.</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 it happens</w:t>
            </w:r>
          </w:p>
        </w:tc>
        <w:tc>
          <w:tcPr>
            <w:tcW w:type="dxa" w:w="2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Credibility and search presence. Low effort, non-negotiable.</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13.2  The Handbook — the highest-return decision on this site</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THE ARGUMENT</w:t>
            </w:r>
          </w:p>
          <w:p>
            <w:pPr>
              <w:spacing w:after="120" w:line="290"/>
            </w:pPr>
            <w:r>
              <w:rPr>
                <w:rFonts w:ascii="Calibri" w:cs="Calibri" w:eastAsia="Calibri" w:hAnsi="Calibri"/>
                <w:color w:val="23282D"/>
                <w:sz w:val="21"/>
                <w:szCs w:val="21"/>
              </w:rPr>
              <w:t xml:space="preserve">a16z's most-linked content is not its manifestos. It is the practical primers — the guide to selling to the Department of Defense, the primer on factory economics. They are cited and re-shared for years because they answer a question a founder cannot answer elsewhere.</w:t>
            </w:r>
          </w:p>
          <w:p>
            <w:pPr>
              <w:spacing w:after="120" w:line="290"/>
            </w:pPr>
            <w:r>
              <w:rPr>
                <w:rFonts w:ascii="Calibri" w:cs="Calibri" w:eastAsia="Calibri" w:hAnsi="Calibri"/>
                <w:color w:val="23282D"/>
                <w:sz w:val="21"/>
                <w:szCs w:val="21"/>
              </w:rPr>
              <w:t xml:space="preserve">The Indian equivalents do not exist as good public writing. Nobody has published a clear guide to assigning IP out of an IIT, to sequencing India's grant schemes against a TRL ladder, or to surviving a defence procurement cycle as a twelve-person company. Y-Point is unusually well placed to write all three: the IP guide from the Dean R&amp;D relationship, the grant guide from SINE's own funding ladder, and the procurement guide from an IC member who co-created iDEX.</w:t>
            </w:r>
          </w:p>
          <w:p>
            <w:pPr>
              <w:spacing w:after="0" w:line="290"/>
            </w:pPr>
            <w:r>
              <w:rPr>
                <w:rFonts w:ascii="Calibri" w:cs="Calibri" w:eastAsia="Calibri" w:hAnsi="Calibri"/>
                <w:color w:val="23282D"/>
                <w:sz w:val="21"/>
                <w:szCs w:val="21"/>
              </w:rPr>
              <w:t xml:space="preserve">Six evergreen pieces will outperform everything else on this site for qualified inbound, establish domain authority with the researcher audience, and give the team a reason to be read by people who are not yet raising — which is the definition of proprietary sourcing.</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13.3  The first six Handbook pieces</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600"/>
        <w:gridCol w:w="3100"/>
        <w:gridCol w:w="2900"/>
        <w:gridCol w:w="2760"/>
      </w:tblGrid>
      <w:tr>
        <w:trPr>
          <w:tblHeader/>
        </w:trPr>
        <w:tc>
          <w:tcPr>
            <w:tcW w:type="dxa" w:w="6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t>
            </w:r>
          </w:p>
        </w:tc>
        <w:tc>
          <w:tcPr>
            <w:tcW w:type="dxa" w:w="3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Title</w:t>
            </w:r>
          </w:p>
        </w:tc>
        <w:tc>
          <w:tcPr>
            <w:tcW w:type="dxa" w:w="29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Core question it answers</w:t>
            </w:r>
          </w:p>
        </w:tc>
        <w:tc>
          <w:tcPr>
            <w:tcW w:type="dxa" w:w="27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Internal source</w:t>
            </w:r>
          </w:p>
        </w:tc>
      </w:tr>
      <w:tr>
        <w:trPr>
          <w:cantSplit/>
        </w:trPr>
        <w:tc>
          <w:tcPr>
            <w:tcW w:type="dxa" w:w="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01</w:t>
            </w:r>
          </w:p>
        </w:tc>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Assigning IP Out of an IIT: What Every Academic Founder Must Settle First</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Who owns my technology, what does the institute take, and what must I do before incorporation?</w:t>
            </w:r>
          </w:p>
        </w:tc>
        <w:tc>
          <w:tcPr>
            <w:tcW w:type="dxa" w:w="27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Dean R&amp;D process; SINE's formalised equity structures</w:t>
            </w:r>
          </w:p>
        </w:tc>
      </w:tr>
      <w:tr>
        <w:trPr>
          <w:cantSplit/>
        </w:trPr>
        <w:tc>
          <w:tcPr>
            <w:tcW w:type="dxa" w:w="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02</w:t>
            </w:r>
          </w:p>
        </w:tc>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Indian Non-Dilutive Capital Stack, Mapped to TRL</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Which grant at which stage, how long it takes, and what disqualifies me.</w:t>
            </w:r>
          </w:p>
        </w:tc>
        <w:tc>
          <w:tcPr>
            <w:tcW w:type="dxa" w:w="27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SINE's TRL advancement funding ladder</w:t>
            </w:r>
          </w:p>
        </w:tc>
      </w:tr>
      <w:tr>
        <w:trPr>
          <w:cantSplit/>
        </w:trPr>
        <w:tc>
          <w:tcPr>
            <w:tcW w:type="dxa" w:w="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03</w:t>
            </w:r>
          </w:p>
        </w:tc>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Selling to Defence: iDEX, TDF and Surviving the Procurement Cycle</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How does a startup actually win and get paid on a defence contract?</w:t>
            </w:r>
          </w:p>
        </w:tc>
        <w:tc>
          <w:tcPr>
            <w:tcW w:type="dxa" w:w="27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IC member who co-created iDEX</w:t>
            </w:r>
          </w:p>
        </w:tc>
      </w:tr>
      <w:tr>
        <w:trPr>
          <w:cantSplit/>
        </w:trPr>
        <w:tc>
          <w:tcPr>
            <w:tcW w:type="dxa" w:w="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04</w:t>
            </w:r>
          </w:p>
        </w:tc>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Before Tape-Out: What a Fabless Startup in India Needs in Place</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does ISM and DLI support cover, and what must I fund myself?</w:t>
            </w:r>
          </w:p>
        </w:tc>
        <w:tc>
          <w:tcPr>
            <w:tcW w:type="dxa" w:w="27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Semiconductor pipeline experience; SemiX centre at IIT Bombay</w:t>
            </w:r>
          </w:p>
        </w:tc>
      </w:tr>
      <w:tr>
        <w:trPr>
          <w:cantSplit/>
        </w:trPr>
        <w:tc>
          <w:tcPr>
            <w:tcW w:type="dxa" w:w="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05</w:t>
            </w:r>
          </w:p>
        </w:tc>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Belongs in a Deep Tech Pre-Seed Term Sheet — and What Does Not</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Which standard software-venture terms are wrong for a seven-year hardware timeline?</w:t>
            </w:r>
          </w:p>
        </w:tc>
        <w:tc>
          <w:tcPr>
            <w:tcW w:type="dxa" w:w="27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Fund's own documentation practice</w:t>
            </w:r>
          </w:p>
        </w:tc>
      </w:tr>
      <w:tr>
        <w:trPr>
          <w:cantSplit/>
        </w:trPr>
        <w:tc>
          <w:tcPr>
            <w:tcW w:type="dxa" w:w="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06</w:t>
            </w:r>
          </w:p>
        </w:tc>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Pricing Hardware When Your BOM Is 60% of Revenue</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How do I build a model that survives first-generation manufacturing costs?</w:t>
            </w:r>
          </w:p>
        </w:tc>
        <w:tc>
          <w:tcPr>
            <w:tcW w:type="dxa" w:w="27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Manufacturing and robotics diligence experience</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13.4  Article template and review</w:t>
      </w:r>
    </w:p>
    <w:p>
      <w:pPr>
        <w:pStyle w:val="ListParagraph"/>
        <w:numPr>
          <w:ilvl w:val="0"/>
          <w:numId w:val="2"/>
        </w:numPr>
        <w:spacing w:after="80" w:line="285"/>
      </w:pPr>
      <w:r>
        <w:rPr>
          <w:rFonts w:ascii="Calibri" w:cs="Calibri" w:eastAsia="Calibri" w:hAnsi="Calibri"/>
          <w:color w:val="23282D"/>
          <w:sz w:val="21"/>
          <w:szCs w:val="21"/>
        </w:rPr>
        <w:t xml:space="preserve">Category tag, title, author with photo linked to team profile, date, estimated reading time.</w:t>
      </w:r>
    </w:p>
    <w:p>
      <w:pPr>
        <w:pStyle w:val="ListParagraph"/>
        <w:numPr>
          <w:ilvl w:val="0"/>
          <w:numId w:val="2"/>
        </w:numPr>
        <w:spacing w:after="80" w:line="285"/>
      </w:pPr>
      <w:r>
        <w:rPr>
          <w:rFonts w:ascii="Calibri" w:cs="Calibri" w:eastAsia="Calibri" w:hAnsi="Calibri"/>
          <w:color w:val="23282D"/>
          <w:sz w:val="21"/>
          <w:szCs w:val="21"/>
        </w:rPr>
        <w:t xml:space="preserve">Body with pull quotes and inline graphics; maximum 70 characters per line.</w:t>
      </w:r>
    </w:p>
    <w:p>
      <w:pPr>
        <w:pStyle w:val="ListParagraph"/>
        <w:numPr>
          <w:ilvl w:val="0"/>
          <w:numId w:val="2"/>
        </w:numPr>
        <w:spacing w:after="80" w:line="285"/>
      </w:pPr>
      <w:r>
        <w:rPr>
          <w:rFonts w:ascii="Calibri" w:cs="Calibri" w:eastAsia="Calibri" w:hAnsi="Calibri"/>
          <w:color w:val="23282D"/>
          <w:sz w:val="21"/>
          <w:szCs w:val="21"/>
        </w:rPr>
        <w:t xml:space="preserve">Author bio block at the end, linked to the relevant focus area page.</w:t>
      </w:r>
    </w:p>
    <w:p>
      <w:pPr>
        <w:pStyle w:val="ListParagraph"/>
        <w:numPr>
          <w:ilvl w:val="0"/>
          <w:numId w:val="2"/>
        </w:numPr>
        <w:spacing w:after="80" w:line="285"/>
      </w:pPr>
      <w:r>
        <w:rPr>
          <w:rFonts w:ascii="Calibri" w:cs="Calibri" w:eastAsia="Calibri" w:hAnsi="Calibri"/>
          <w:color w:val="23282D"/>
          <w:sz w:val="21"/>
          <w:szCs w:val="21"/>
        </w:rPr>
        <w:t xml:space="preserve">Related content — three items, tagged by vertical.</w:t>
      </w:r>
    </w:p>
    <w:p>
      <w:pPr>
        <w:pStyle w:val="ListParagraph"/>
        <w:numPr>
          <w:ilvl w:val="0"/>
          <w:numId w:val="2"/>
        </w:numPr>
        <w:spacing w:after="80" w:line="285"/>
      </w:pPr>
      <w:r>
        <w:rPr>
          <w:rFonts w:ascii="Calibri" w:cs="Calibri" w:eastAsia="Calibri" w:hAnsi="Calibri"/>
          <w:color w:val="23282D"/>
          <w:sz w:val="21"/>
          <w:szCs w:val="21"/>
        </w:rPr>
        <w:t xml:space="preserve">Newsletter capture and a soft founder CTA.</w:t>
      </w:r>
    </w:p>
    <w:p>
      <w:pPr>
        <w:pStyle w:val="ListParagraph"/>
        <w:numPr>
          <w:ilvl w:val="0"/>
          <w:numId w:val="2"/>
        </w:numPr>
        <w:spacing w:after="80" w:line="285"/>
      </w:pPr>
      <w:r>
        <w:rPr>
          <w:rFonts w:ascii="Calibri" w:cs="Calibri" w:eastAsia="Calibri" w:hAnsi="Calibri"/>
          <w:color w:val="23282D"/>
          <w:sz w:val="21"/>
          <w:szCs w:val="21"/>
        </w:rPr>
        <w:t xml:space="preserve">Every Handbook piece requires legal review. Practical guidance on IP, grants and procurement carries a duty of care, and each piece must carry a general-information disclaimer. This is also the stream most likely to accidentally reference fund performance — review against Section 4.2 specifically.</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14  About — The Fund, Team, Governance</w:t>
      </w:r>
    </w:p>
    <w:p>
      <w:pPr>
        <w:pStyle w:val="Heading2"/>
        <w:spacing w:after="140" w:before="320"/>
      </w:pPr>
      <w:r>
        <w:rPr>
          <w:rFonts w:ascii="Calibri" w:cs="Calibri" w:eastAsia="Calibri" w:hAnsi="Calibri"/>
          <w:b/>
          <w:bCs/>
          <w:color w:val="14304A"/>
          <w:sz w:val="26"/>
          <w:szCs w:val="26"/>
        </w:rPr>
        <w:t xml:space="preserve">14.1  The Fund</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THE FUND</w:t>
            </w:r>
          </w:p>
          <w:p>
            <w:pPr>
              <w:spacing w:after="120" w:line="290"/>
            </w:pPr>
            <w:r>
              <w:rPr>
                <w:rFonts w:ascii="Calibri" w:cs="Calibri" w:eastAsia="Calibri" w:hAnsi="Calibri"/>
                <w:color w:val="23282D"/>
                <w:sz w:val="21"/>
                <w:szCs w:val="21"/>
              </w:rPr>
              <w:t xml:space="preserve">Y-Point Venture Capital Fund-I is India's first deep technology venture fund managed by an academia-linked incubator.</w:t>
            </w:r>
          </w:p>
          <w:p>
            <w:pPr>
              <w:spacing w:after="120" w:line="290"/>
            </w:pPr>
            <w:r>
              <w:rPr>
                <w:rFonts w:ascii="Calibri" w:cs="Calibri" w:eastAsia="Calibri" w:hAnsi="Calibri"/>
                <w:color w:val="23282D"/>
                <w:sz w:val="21"/>
                <w:szCs w:val="21"/>
              </w:rPr>
              <w:t xml:space="preserve">The Fund was established by SINE — the Society for Innovation and Entrepreneurship, the technology business incubator of IIT Bombay — to address a gap that two decades of incubation had made impossible to ignore. India's research institutions were producing technically outstanding companies that could not raise the patient, technically literate capital needed at the point where a proven technology has to become a manufacturable product.</w:t>
            </w:r>
          </w:p>
          <w:p>
            <w:pPr>
              <w:spacing w:after="120" w:line="290"/>
            </w:pPr>
            <w:r>
              <w:rPr>
                <w:rFonts w:ascii="Calibri" w:cs="Calibri" w:eastAsia="Calibri" w:hAnsi="Calibri"/>
                <w:color w:val="23282D"/>
                <w:sz w:val="21"/>
                <w:szCs w:val="21"/>
              </w:rPr>
              <w:t xml:space="preserve">We invest at pre-seed and seed stage in ventures emerging from IIT Bombay and other premier research institutions, across artificial intelligence and advanced computing, advanced manufacturing and semiconductor, next generation materials, space and defence, climate and clean technology, and life sciences.</w:t>
            </w:r>
          </w:p>
          <w:p>
            <w:pPr>
              <w:spacing w:after="0" w:line="290"/>
            </w:pPr>
            <w:r>
              <w:rPr>
                <w:rFonts w:ascii="Calibri" w:cs="Calibri" w:eastAsia="Calibri" w:hAnsi="Calibri"/>
                <w:color w:val="23282D"/>
                <w:sz w:val="21"/>
                <w:szCs w:val="21"/>
              </w:rPr>
              <w:t xml:space="preserve">The Fund is the first scheme of Y-Point Venture Capital Trust, registered with the Securities and Exchange Board of India as a Category II Alternative Investment Fund.</w:t>
            </w:r>
          </w:p>
        </w:tc>
      </w:tr>
    </w:tbl>
    <w:p>
      <w:pPr>
        <w:spacing w:after="180"/>
      </w:pPr>
      <w:r>
        <w:t xml:space="preserve"/>
      </w:r>
    </w:p>
    <w:p>
      <w:pPr>
        <w:spacing w:after="80" w:before="180"/>
      </w:pPr>
      <w:r>
        <w:rPr>
          <w:rFonts w:ascii="Calibri" w:cs="Calibri" w:eastAsia="Calibri" w:hAnsi="Calibri"/>
          <w:b/>
          <w:bCs/>
          <w:color w:val="5A6472"/>
          <w:sz w:val="20"/>
          <w:szCs w:val="20"/>
        </w:rPr>
        <w:t xml:space="preserve">Fund facts block — all verified</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900"/>
        <w:gridCol w:w="6460"/>
      </w:tblGrid>
      <w:tr>
        <w:trPr>
          <w:tblHeader/>
        </w:trPr>
        <w:tc>
          <w:tcPr>
            <w:tcW w:type="dxa" w:w="29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64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Detail</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Venture Capital Fund-I, the first scheme of Y-Point Venture Capital Trust</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Target size</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₹250 crore</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Stage</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Pre-seed and seed; TRL 4–7</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Initial cheque</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₹3–5 crore</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construction</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25–30 companies; approximately 40% of investable corpus reserved for follow-on</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Concentration limits</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 single company above approximately 10% of investable corpus; no single sector above approximately 20% of the portfolio</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Term</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Close-ended; 10 years from First Closing, extendable by 2 years</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Geography</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India</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Regulatory status</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Category II Alternative Investment Fund; SEBI Registration No. IN/AIF2/25-26/1937</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Manager and Co-Sponsor</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Investment Advisors Private Limited (wholly owned by SINE)</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Co-Sponsor</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Innoventure Private Trust</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Trustee</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Vistra ITCL (India) Limited</w:t>
            </w:r>
          </w:p>
        </w:tc>
      </w:tr>
      <w:tr>
        <w:trPr>
          <w:cantSplit/>
        </w:trPr>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and tax advisor</w:t>
            </w:r>
          </w:p>
        </w:tc>
        <w:tc>
          <w:tcPr>
            <w:tcW w:type="dxa" w:w="6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Nishith Desai Associates</w:t>
            </w:r>
          </w:p>
        </w:tc>
      </w:tr>
      <w:tr>
        <w:trPr>
          <w:cantSplit/>
        </w:trPr>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Registered office</w:t>
            </w:r>
          </w:p>
        </w:tc>
        <w:tc>
          <w:tcPr>
            <w:tcW w:type="dxa" w:w="6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Office, 5th Floor, RBTIC Building, A S Marg, IIT Bombay, Powai, Mumbai 400076</w:t>
            </w:r>
          </w:p>
        </w:tc>
      </w:tr>
    </w:tbl>
    <w:p>
      <w:pPr>
        <w:spacing w:after="160"/>
      </w:pPr>
      <w:r>
        <w:t xml:space="preserve"/>
      </w:r>
    </w:p>
    <w:p>
      <w:pPr>
        <w:spacing w:after="140" w:line="290"/>
      </w:pPr>
      <w:r>
        <w:rPr>
          <w:rFonts w:ascii="Calibri" w:cs="Calibri" w:eastAsia="Calibri" w:hAnsi="Calibri"/>
          <w:b w:val="false"/>
          <w:bCs w:val="false"/>
          <w:i/>
          <w:iCs/>
          <w:color w:val="5A6472"/>
          <w:sz w:val="19"/>
          <w:szCs w:val="19"/>
        </w:rPr>
        <w:t xml:space="preserve">Do not publish the PAN of any entity, the merchant banker's engagement, or the custodian arrangement until appointed and cleared. Confirm with counsel which service providers may be named publicly — each requires its own consent.</w:t>
      </w:r>
    </w:p>
    <w:p>
      <w:pPr>
        <w:pStyle w:val="Heading2"/>
        <w:spacing w:after="140" w:before="320"/>
      </w:pPr>
      <w:r>
        <w:rPr>
          <w:rFonts w:ascii="Calibri" w:cs="Calibri" w:eastAsia="Calibri" w:hAnsi="Calibri"/>
          <w:b/>
          <w:bCs/>
          <w:color w:val="14304A"/>
          <w:sz w:val="26"/>
          <w:szCs w:val="26"/>
        </w:rPr>
        <w:t xml:space="preserve">14.2  Team</w:t>
      </w:r>
    </w:p>
    <w:p>
      <w:pPr>
        <w:spacing w:after="140" w:line="290"/>
      </w:pPr>
      <w:r>
        <w:rPr>
          <w:rFonts w:ascii="Calibri" w:cs="Calibri" w:eastAsia="Calibri" w:hAnsi="Calibri"/>
          <w:b w:val="false"/>
          <w:bCs w:val="false"/>
          <w:i w:val="false"/>
          <w:iCs w:val="false"/>
          <w:color w:val="23282D"/>
          <w:sz w:val="21"/>
          <w:szCs w:val="21"/>
        </w:rPr>
        <w:t xml:space="preserve">Two tiers following the a16z pattern: investment team with photograph, name, title, short bio and social links; investment committee and advisors as a separate, visually distinct block. Individual profile pages in Phase 3, doubling as Insights author pages.</w:t>
      </w:r>
    </w:p>
    <w:p>
      <w:pPr>
        <w:spacing w:after="140"/>
      </w:pPr>
      <w:r>
        <w:t xml:space="preserve"/>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COMPLIANCE NOTE ON BIOS</w:t>
            </w:r>
          </w:p>
          <w:p>
            <w:pPr>
              <w:spacing w:after="0" w:line="290"/>
            </w:pPr>
            <w:r>
              <w:rPr>
                <w:rFonts w:ascii="Calibri" w:cs="Calibri" w:eastAsia="Calibri" w:hAnsi="Calibri"/>
                <w:color w:val="23282D"/>
                <w:sz w:val="21"/>
                <w:szCs w:val="21"/>
              </w:rPr>
              <w:t xml:space="preserve">The LP deck quantifies individual track records — blended multiples and named company returns. These must not appear in a public bio. A bio may say what someone has done and where; it must not say how well it went in numbers. See Section 4.2.</w:t>
            </w:r>
          </w:p>
        </w:tc>
      </w:tr>
    </w:tbl>
    <w:p>
      <w:pPr>
        <w:spacing w:after="160"/>
      </w:pPr>
      <w:r>
        <w:t xml:space="preserve"/>
      </w:r>
    </w:p>
    <w:p>
      <w:pPr>
        <w:spacing w:after="80" w:before="180"/>
      </w:pPr>
      <w:r>
        <w:rPr>
          <w:rFonts w:ascii="Calibri" w:cs="Calibri" w:eastAsia="Calibri" w:hAnsi="Calibri"/>
          <w:b/>
          <w:bCs/>
          <w:color w:val="5A6472"/>
          <w:sz w:val="20"/>
          <w:szCs w:val="20"/>
        </w:rPr>
        <w:t xml:space="preserve">Investment team — draft public bios</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 — TO BE APPROVED BY EACH INDIVIDUAL</w:t>
            </w:r>
          </w:p>
          <w:p>
            <w:pPr>
              <w:spacing w:after="120" w:line="290"/>
            </w:pPr>
            <w:r>
              <w:rPr>
                <w:rFonts w:ascii="Calibri" w:cs="Calibri" w:eastAsia="Calibri" w:hAnsi="Calibri"/>
                <w:color w:val="23282D"/>
                <w:sz w:val="21"/>
                <w:szCs w:val="21"/>
              </w:rPr>
              <w:t xml:space="preserve">Shaji Varghese — Director, Y-Point Investment Advisors; Chief Executive Officer, SINE IIT Bombay</w:t>
            </w:r>
          </w:p>
          <w:p>
            <w:pPr>
              <w:spacing w:after="120" w:line="290"/>
            </w:pPr>
            <w:r>
              <w:rPr>
                <w:rFonts w:ascii="Calibri" w:cs="Calibri" w:eastAsia="Calibri" w:hAnsi="Calibri"/>
                <w:color w:val="23282D"/>
                <w:sz w:val="21"/>
                <w:szCs w:val="21"/>
              </w:rPr>
              <w:t xml:space="preserve">Shaji has spent more than three decades in private equity and venture capital, including as a Partner at BTS India Private Equity Fund and in senior roles at GVFL and the Kerala Venture Capital Fund, across more than fifteen investments. As CEO of SINE he runs the incubator Y-Point invests out of, which makes him unusually well placed to see a company's technical trajectory years before a term sheet is on the table. CFA (India), MBA, and a B.Tech from Kerala.</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Saurabh Jain — Fund Manager</w:t>
            </w:r>
          </w:p>
          <w:p>
            <w:pPr>
              <w:spacing w:after="120" w:line="290"/>
            </w:pPr>
            <w:r>
              <w:rPr>
                <w:rFonts w:ascii="Calibri" w:cs="Calibri" w:eastAsia="Calibri" w:hAnsi="Calibri"/>
                <w:color w:val="23282D"/>
                <w:sz w:val="21"/>
                <w:szCs w:val="21"/>
              </w:rPr>
              <w:t xml:space="preserve">Saurabh leads the Fund's investment activity, from sourcing through diligence to portfolio support, with a focus on semiconductors, advanced computing and industrial technology. He spent over a decade in early-stage investing, most recently at Refex Capital and earlier at Tracxn, and has led investments in Indian deep tech companies through the difficult years between prototype and production. B.Tech, IIT Kharagpur.</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Saurabh Singh — Investment Manager</w:t>
            </w:r>
          </w:p>
          <w:p>
            <w:pPr>
              <w:spacing w:after="120" w:line="290"/>
            </w:pPr>
            <w:r>
              <w:rPr>
                <w:rFonts w:ascii="Calibri" w:cs="Calibri" w:eastAsia="Calibri" w:hAnsi="Calibri"/>
                <w:color w:val="23282D"/>
                <w:sz w:val="21"/>
                <w:szCs w:val="21"/>
              </w:rPr>
              <w:t xml:space="preserve">Saurabh brings an operator's lens to diligence. He began his career at PwC and then founded three companies, including a deep tech venture in sustainable biotechnology, before moving to the investing side. He works across sourcing, technical diligence and portfolio support. B.Tech, BIT Mesra.</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Jay Dhadhal — Senior Analyst</w:t>
            </w:r>
          </w:p>
          <w:p>
            <w:pPr>
              <w:spacing w:after="0" w:line="290"/>
            </w:pPr>
            <w:r>
              <w:rPr>
                <w:rFonts w:ascii="Calibri" w:cs="Calibri" w:eastAsia="Calibri" w:hAnsi="Calibri"/>
                <w:color w:val="23282D"/>
                <w:sz w:val="21"/>
                <w:szCs w:val="21"/>
              </w:rPr>
              <w:t xml:space="preserve">Jay covers diligence, fund operations and investor relations, having evaluated more than 250 opportunities and worked on five investments at GVFL. He also handles the Fund's SEBI AIF compliance and its relationships with institutional investors including SIDBI and SBI. CFA Level 2 and CAIA Level 1 candidate.</w:t>
            </w:r>
          </w:p>
        </w:tc>
      </w:tr>
    </w:tbl>
    <w:p>
      <w:pPr>
        <w:spacing w:after="180"/>
      </w:pPr>
      <w:r>
        <w:t xml:space="preserve"/>
      </w:r>
    </w:p>
    <w:p>
      <w:pPr>
        <w:spacing w:after="80" w:before="180"/>
      </w:pPr>
      <w:r>
        <w:rPr>
          <w:rFonts w:ascii="Calibri" w:cs="Calibri" w:eastAsia="Calibri" w:hAnsi="Calibri"/>
          <w:b/>
          <w:bCs/>
          <w:color w:val="5A6472"/>
          <w:sz w:val="20"/>
          <w:szCs w:val="20"/>
        </w:rPr>
        <w:t xml:space="preserve">Investment committee — draft public copy</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 — TO BE APPROVED BY EACH INDIVIDUAL</w:t>
            </w:r>
          </w:p>
          <w:p>
            <w:pPr>
              <w:spacing w:after="120" w:line="290"/>
            </w:pPr>
            <w:r>
              <w:rPr>
                <w:rFonts w:ascii="Calibri" w:cs="Calibri" w:eastAsia="Calibri" w:hAnsi="Calibri"/>
                <w:color w:val="23282D"/>
                <w:sz w:val="21"/>
                <w:szCs w:val="21"/>
              </w:rPr>
              <w:t xml:space="preserve">OUR INVESTMENT COMMITTEE</w:t>
            </w:r>
          </w:p>
          <w:p>
            <w:pPr>
              <w:spacing w:after="120" w:line="290"/>
            </w:pPr>
            <w:r>
              <w:rPr>
                <w:rFonts w:ascii="Calibri" w:cs="Calibri" w:eastAsia="Calibri" w:hAnsi="Calibri"/>
                <w:color w:val="23282D"/>
                <w:sz w:val="21"/>
                <w:szCs w:val="21"/>
              </w:rPr>
              <w:t xml:space="preserve">Six members. More than 110 years of combined experience across investment management, space, defence, advanced materials, manufacturing and biotechnology. The people who assess a deal at Y-Point have, in most cases, built the thing being assessed.</w:t>
            </w:r>
          </w:p>
          <w:p>
            <w:pPr>
              <w:spacing w:after="120" w:line="290"/>
            </w:pPr>
            <w:r>
              <w:rPr>
                <w:rFonts w:ascii="Calibri" w:cs="Calibri" w:eastAsia="Calibri" w:hAnsi="Calibri"/>
                <w:color w:val="23282D"/>
                <w:sz w:val="21"/>
                <w:szCs w:val="21"/>
              </w:rPr>
              <w:t xml:space="preserve">Samir Kumar — General Partner, Athera Ventures. Twenty-four years in early-stage investing and fifteen in the technology industry. IIT Bombay and IIM Bengaluru.</w:t>
            </w:r>
          </w:p>
          <w:p>
            <w:pPr>
              <w:spacing w:after="120" w:line="290"/>
            </w:pPr>
            <w:r>
              <w:rPr>
                <w:rFonts w:ascii="Calibri" w:cs="Calibri" w:eastAsia="Calibri" w:hAnsi="Calibri"/>
                <w:color w:val="23282D"/>
                <w:sz w:val="21"/>
                <w:szCs w:val="21"/>
              </w:rPr>
              <w:t xml:space="preserve">Gagan Goyal — General Partner, IndiaQuotient. Entrepreneur turned investor with over twenty years' experience, an active angel portfolio and a focus on IP-led companies. IIT Bombay.</w:t>
            </w:r>
          </w:p>
          <w:p>
            <w:pPr>
              <w:spacing w:after="120" w:line="290"/>
            </w:pPr>
            <w:r>
              <w:rPr>
                <w:rFonts w:ascii="Calibri" w:cs="Calibri" w:eastAsia="Calibri" w:hAnsi="Calibri"/>
                <w:color w:val="23282D"/>
                <w:sz w:val="21"/>
                <w:szCs w:val="21"/>
              </w:rPr>
              <w:t xml:space="preserve">Dr Seshagiri Rao V (Retd) — Former Associate Director at ISRO's Satish Dhawan Space Centre, with over forty years in aerospace systems, real-time networks and radar. A key contributor to the Chandrayaan-1 and Mangalyaan missions.</w:t>
            </w:r>
          </w:p>
          <w:p>
            <w:pPr>
              <w:spacing w:after="120" w:line="290"/>
            </w:pPr>
            <w:r>
              <w:rPr>
                <w:rFonts w:ascii="Calibri" w:cs="Calibri" w:eastAsia="Calibri" w:hAnsi="Calibri"/>
                <w:color w:val="23282D"/>
                <w:sz w:val="21"/>
                <w:szCs w:val="21"/>
              </w:rPr>
              <w:t xml:space="preserve">Ravin Kulshrestha (Retd) — Co-creator of the iDEX initiative. Former Director at Advanced Weapons and Equipment India Limited, and previously a Director in the Ministry of Defence Production. IIT Kanpur.</w:t>
            </w:r>
          </w:p>
          <w:p>
            <w:pPr>
              <w:spacing w:after="0" w:line="290"/>
            </w:pPr>
            <w:r>
              <w:rPr>
                <w:rFonts w:ascii="Calibri" w:cs="Calibri" w:eastAsia="Calibri" w:hAnsi="Calibri"/>
                <w:color w:val="23282D"/>
                <w:sz w:val="21"/>
                <w:szCs w:val="21"/>
              </w:rPr>
              <w:t xml:space="preserve">Dr T S Balganesh — President, GangaGen Biotechnologies. More than thirty years in antibacterial drug discovery, and former Managing Director of AstraZeneca India, where he led development of the company's first anti-TB molecule. Advisor to CSIR laboratories and the Gates Foundation.</w:t>
            </w:r>
          </w:p>
        </w:tc>
      </w:tr>
    </w:tbl>
    <w:p>
      <w:pPr>
        <w:spacing w:after="180"/>
      </w:pPr>
      <w:r>
        <w:t xml:space="preserve"/>
      </w:r>
    </w:p>
    <w:p>
      <w:pPr>
        <w:spacing w:after="80" w:before="180"/>
      </w:pPr>
      <w:r>
        <w:rPr>
          <w:rFonts w:ascii="Calibri" w:cs="Calibri" w:eastAsia="Calibri" w:hAnsi="Calibri"/>
          <w:b/>
          <w:bCs/>
          <w:color w:val="5A6472"/>
          <w:sz w:val="20"/>
          <w:szCs w:val="20"/>
        </w:rPr>
        <w:t xml:space="preserve">Advisors and mentors</w:t>
      </w:r>
    </w:p>
    <w:p>
      <w:pPr>
        <w:spacing w:after="140" w:line="290"/>
      </w:pPr>
      <w:r>
        <w:rPr>
          <w:rFonts w:ascii="Calibri" w:cs="Calibri" w:eastAsia="Calibri" w:hAnsi="Calibri"/>
          <w:b w:val="false"/>
          <w:bCs w:val="false"/>
          <w:i/>
          <w:iCs/>
          <w:color w:val="5A6472"/>
          <w:sz w:val="19"/>
          <w:szCs w:val="19"/>
        </w:rPr>
        <w:t xml:space="preserve">The advisory network includes senior figures from industry and finance. Each requires explicit written consent before being named on a public website — a name that appears in a confidential LP deck has not thereby consented to a public page. Treat this as a Phase 2 workstream with a long lead time, and be prepared for some to decline.</w:t>
      </w:r>
    </w:p>
    <w:p>
      <w:pPr>
        <w:pStyle w:val="Heading2"/>
        <w:spacing w:after="140" w:before="320"/>
      </w:pPr>
      <w:r>
        <w:rPr>
          <w:rFonts w:ascii="Calibri" w:cs="Calibri" w:eastAsia="Calibri" w:hAnsi="Calibri"/>
          <w:b/>
          <w:bCs/>
          <w:color w:val="14304A"/>
          <w:sz w:val="26"/>
          <w:szCs w:val="26"/>
        </w:rPr>
        <w:t xml:space="preserve">14.3  Governance and Structure</w:t>
      </w:r>
    </w:p>
    <w:p>
      <w:pPr>
        <w:spacing w:after="140" w:line="290"/>
      </w:pPr>
      <w:r>
        <w:rPr>
          <w:rFonts w:ascii="Calibri" w:cs="Calibri" w:eastAsia="Calibri" w:hAnsi="Calibri"/>
          <w:b w:val="false"/>
          <w:bCs w:val="false"/>
          <w:i w:val="false"/>
          <w:iCs w:val="false"/>
          <w:color w:val="23282D"/>
          <w:sz w:val="21"/>
          <w:szCs w:val="21"/>
        </w:rPr>
        <w:t xml:space="preserve">An unusual page for a venture website and a deliberate inclusion. Y-Point's institutional backing is a differentiator with LPs and with conservative institutional partners; it should be visible rather than implied.</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GOVERNANCE</w:t>
            </w:r>
          </w:p>
          <w:p>
            <w:pPr>
              <w:spacing w:after="120" w:line="290"/>
            </w:pPr>
            <w:r>
              <w:rPr>
                <w:rFonts w:ascii="Calibri" w:cs="Calibri" w:eastAsia="Calibri" w:hAnsi="Calibri"/>
                <w:color w:val="23282D"/>
                <w:sz w:val="21"/>
                <w:szCs w:val="21"/>
              </w:rPr>
              <w:t xml:space="preserve">Y-Point operates within the governance framework of one of India's foremost research institutions.</w:t>
            </w:r>
          </w:p>
          <w:p>
            <w:pPr>
              <w:spacing w:after="120" w:line="290"/>
            </w:pPr>
            <w:r>
              <w:rPr>
                <w:rFonts w:ascii="Calibri" w:cs="Calibri" w:eastAsia="Calibri" w:hAnsi="Calibri"/>
                <w:color w:val="23282D"/>
                <w:sz w:val="21"/>
                <w:szCs w:val="21"/>
              </w:rPr>
              <w:t xml:space="preserve">Y-Point Venture Capital Fund-I is the first scheme of Y-Point Venture Capital Trust, a Category II Alternative Investment Fund registered with SEBI under registration number IN/AIF2/25-26/1937. The Trust is established under the Indian Trusts Act, 1882.</w:t>
            </w:r>
          </w:p>
          <w:p>
            <w:pPr>
              <w:spacing w:after="120" w:line="290"/>
            </w:pPr>
            <w:r>
              <w:rPr>
                <w:rFonts w:ascii="Calibri" w:cs="Calibri" w:eastAsia="Calibri" w:hAnsi="Calibri"/>
                <w:color w:val="23282D"/>
                <w:sz w:val="21"/>
                <w:szCs w:val="21"/>
              </w:rPr>
              <w:t xml:space="preserve">Y-Point Investment Advisors Private Limited, a company wholly owned by SINE, acts as investment manager and co-sponsor. SINE Innoventure Private Trust, whose sole beneficiary is the Indian Institute of Technology Bombay, is co-sponsor. Vistra ITCL (India) Limited acts as trustee and provides independent oversight of the Fund's operations. Nishith Desai Associates is legal and tax counsel to the Fund.</w:t>
            </w:r>
          </w:p>
          <w:p>
            <w:pPr>
              <w:spacing w:after="120" w:line="290"/>
            </w:pPr>
            <w:r>
              <w:rPr>
                <w:rFonts w:ascii="Calibri" w:cs="Calibri" w:eastAsia="Calibri" w:hAnsi="Calibri"/>
                <w:color w:val="23282D"/>
                <w:sz w:val="21"/>
                <w:szCs w:val="21"/>
              </w:rPr>
              <w:t xml:space="preserve">Investment decisions are taken by a six-member investment committee through a two-stage review: an initial approval that authorises a term sheet, and a final approval following detailed diligence and a meeting between the founders and the committee.</w:t>
            </w:r>
          </w:p>
          <w:p>
            <w:pPr>
              <w:spacing w:after="0" w:line="290"/>
            </w:pPr>
            <w:r>
              <w:rPr>
                <w:rFonts w:ascii="Calibri" w:cs="Calibri" w:eastAsia="Calibri" w:hAnsi="Calibri"/>
                <w:color w:val="23282D"/>
                <w:sz w:val="21"/>
                <w:szCs w:val="21"/>
              </w:rPr>
              <w:t xml:space="preserve">The Fund's establishment was approved by the Board of Governors of IIT Bombay.</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15  Apply — For Founders</w:t>
      </w:r>
    </w:p>
    <w:p>
      <w:pPr>
        <w:spacing w:after="140" w:line="290"/>
      </w:pPr>
      <w:r>
        <w:rPr>
          <w:rFonts w:ascii="Calibri" w:cs="Calibri" w:eastAsia="Calibri" w:hAnsi="Calibri"/>
          <w:b w:val="false"/>
          <w:bCs w:val="false"/>
          <w:i w:val="false"/>
          <w:iCs w:val="false"/>
          <w:color w:val="23282D"/>
          <w:sz w:val="21"/>
          <w:szCs w:val="21"/>
        </w:rPr>
        <w:t xml:space="preserve">The site's primary conversion page. It has two jobs that pull against each other: make applying easy, and make unqualified applications self-select out. Solve that with transparency rather than friction — publish the bar and the process, keep the form short.</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15.1  Page copy</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w:t>
            </w:r>
          </w:p>
          <w:p>
            <w:pPr>
              <w:spacing w:after="120" w:line="290"/>
            </w:pPr>
            <w:r>
              <w:rPr>
                <w:rFonts w:ascii="Calibri" w:cs="Calibri" w:eastAsia="Calibri" w:hAnsi="Calibri"/>
                <w:color w:val="23282D"/>
                <w:sz w:val="21"/>
                <w:szCs w:val="21"/>
              </w:rPr>
              <w:t xml:space="preserve">TELL US WHAT YOU ARE BUILDING</w:t>
            </w:r>
          </w:p>
          <w:p>
            <w:pPr>
              <w:spacing w:after="120" w:line="290"/>
            </w:pPr>
            <w:r>
              <w:rPr>
                <w:rFonts w:ascii="Calibri" w:cs="Calibri" w:eastAsia="Calibri" w:hAnsi="Calibri"/>
                <w:color w:val="23282D"/>
                <w:sz w:val="21"/>
                <w:szCs w:val="21"/>
              </w:rPr>
              <w:t xml:space="preserve">We read everything that comes in, and we reply — including when the answer is no.</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WHO WE BACK</w:t>
            </w:r>
          </w:p>
          <w:p>
            <w:pPr>
              <w:spacing w:after="120" w:line="290"/>
            </w:pPr>
            <w:r>
              <w:rPr>
                <w:rFonts w:ascii="Calibri" w:cs="Calibri" w:eastAsia="Calibri" w:hAnsi="Calibri"/>
                <w:color w:val="23282D"/>
                <w:sz w:val="21"/>
                <w:szCs w:val="21"/>
              </w:rPr>
              <w:t xml:space="preserve">Pre-seed and seed stage companies in India where the hard part is the technology. Most of our companies come out of IIT Bombay or another research institution, but that is not a requirement. What matters is that the science is demonstrated, real engineering risk remains, and the team is capable of retiring it. In TRL terms, that is roughly 4 to 7.</w:t>
            </w:r>
          </w:p>
          <w:p>
            <w:pPr>
              <w:spacing w:after="120" w:line="290"/>
            </w:pPr>
            <w:r>
              <w:rPr>
                <w:rFonts w:ascii="Calibri" w:cs="Calibri" w:eastAsia="Calibri" w:hAnsi="Calibri"/>
                <w:color w:val="23282D"/>
                <w:sz w:val="21"/>
                <w:szCs w:val="21"/>
              </w:rPr>
              <w:t xml:space="preserve">Our initial cheque is ₹3–5 crore, and we reserve capital for follow-on rounds in companies that clear pre-agreed milestones.</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WHAT WE NEED FROM YOU</w:t>
            </w:r>
          </w:p>
          <w:p>
            <w:pPr>
              <w:spacing w:after="120" w:line="290"/>
            </w:pPr>
            <w:r>
              <w:rPr>
                <w:rFonts w:ascii="Calibri" w:cs="Calibri" w:eastAsia="Calibri" w:hAnsi="Calibri"/>
                <w:color w:val="23282D"/>
                <w:sz w:val="21"/>
                <w:szCs w:val="21"/>
              </w:rPr>
              <w:t xml:space="preserve">A short description of the technology and why it is difficult. Where you are on the development path — a characterisation report or test data is worth more to us than a deck. Who is on the team and what they have built before. What the money is for, and what milestone it buys. If you have a deck, send it; if you do not, five honest paragraphs will do.</w:t>
            </w:r>
          </w:p>
          <w:p>
            <w:pPr>
              <w:spacing w:after="120" w:line="290"/>
            </w:pPr>
            <w:r>
              <w:rPr>
                <w:rFonts w:ascii="Calibri" w:cs="Calibri" w:eastAsia="Calibri" w:hAnsi="Calibri"/>
                <w:color w:val="23282D"/>
                <w:sz w:val="21"/>
                <w:szCs w:val="21"/>
              </w:rPr>
              <w:t xml:space="preserve"/>
            </w:r>
          </w:p>
          <w:p>
            <w:pPr>
              <w:spacing w:after="120" w:line="290"/>
            </w:pPr>
            <w:r>
              <w:rPr>
                <w:rFonts w:ascii="Calibri" w:cs="Calibri" w:eastAsia="Calibri" w:hAnsi="Calibri"/>
                <w:color w:val="23282D"/>
                <w:sz w:val="21"/>
                <w:szCs w:val="21"/>
              </w:rPr>
              <w:t xml:space="preserve">WHAT HAPPENS NEXT</w:t>
            </w:r>
          </w:p>
          <w:p>
            <w:pPr>
              <w:spacing w:after="120" w:line="290"/>
            </w:pPr>
            <w:r>
              <w:rPr>
                <w:rFonts w:ascii="Calibri" w:cs="Calibri" w:eastAsia="Calibri" w:hAnsi="Calibri"/>
                <w:color w:val="23282D"/>
                <w:sz w:val="21"/>
                <w:szCs w:val="21"/>
              </w:rPr>
              <w:t xml:space="preserve">01  We read it. Every submission is reviewed by a member of the investment team, not a filter.</w:t>
            </w:r>
          </w:p>
          <w:p>
            <w:pPr>
              <w:spacing w:after="120" w:line="290"/>
            </w:pPr>
            <w:r>
              <w:rPr>
                <w:rFonts w:ascii="Calibri" w:cs="Calibri" w:eastAsia="Calibri" w:hAnsi="Calibri"/>
                <w:color w:val="23282D"/>
                <w:sz w:val="21"/>
                <w:szCs w:val="21"/>
              </w:rPr>
              <w:t xml:space="preserve">02  We respond within [10] working days, either way.</w:t>
            </w:r>
          </w:p>
          <w:p>
            <w:pPr>
              <w:spacing w:after="120" w:line="290"/>
            </w:pPr>
            <w:r>
              <w:rPr>
                <w:rFonts w:ascii="Calibri" w:cs="Calibri" w:eastAsia="Calibri" w:hAnsi="Calibri"/>
                <w:color w:val="23282D"/>
                <w:sz w:val="21"/>
                <w:szCs w:val="21"/>
              </w:rPr>
              <w:t xml:space="preserve">03  If there is a fit, we will ask for a first conversation — a technical discussion rather than a pitch.</w:t>
            </w:r>
          </w:p>
          <w:p>
            <w:pPr>
              <w:spacing w:after="120" w:line="290"/>
            </w:pPr>
            <w:r>
              <w:rPr>
                <w:rFonts w:ascii="Calibri" w:cs="Calibri" w:eastAsia="Calibri" w:hAnsi="Calibri"/>
                <w:color w:val="23282D"/>
                <w:sz w:val="21"/>
                <w:szCs w:val="21"/>
              </w:rPr>
              <w:t xml:space="preserve">04  Selected opportunities go to our investment committee for an initial review. A term sheet is issued at this stage, not at the end.</w:t>
            </w:r>
          </w:p>
          <w:p>
            <w:pPr>
              <w:spacing w:after="120" w:line="290"/>
            </w:pPr>
            <w:r>
              <w:rPr>
                <w:rFonts w:ascii="Calibri" w:cs="Calibri" w:eastAsia="Calibri" w:hAnsi="Calibri"/>
                <w:color w:val="23282D"/>
                <w:sz w:val="21"/>
                <w:szCs w:val="21"/>
              </w:rPr>
              <w:t xml:space="preserve">05  Detailed diligence follows, including independent expert validation of the technology, the IP, the TRL claim and the IP landscape. Expect this to take [6–10] weeks.</w:t>
            </w:r>
          </w:p>
          <w:p>
            <w:pPr>
              <w:spacing w:after="120" w:line="290"/>
            </w:pPr>
            <w:r>
              <w:rPr>
                <w:rFonts w:ascii="Calibri" w:cs="Calibri" w:eastAsia="Calibri" w:hAnsi="Calibri"/>
                <w:color w:val="23282D"/>
                <w:sz w:val="21"/>
                <w:szCs w:val="21"/>
              </w:rPr>
              <w:t xml:space="preserve">06  You will meet the investment committee in person before the final decision. We think founders should be able to interrogate the people backing them, not only the reverse.</w:t>
            </w:r>
          </w:p>
          <w:p>
            <w:pPr>
              <w:spacing w:after="120" w:line="290"/>
            </w:pPr>
            <w:r>
              <w:rPr>
                <w:rFonts w:ascii="Calibri" w:cs="Calibri" w:eastAsia="Calibri" w:hAnsi="Calibri"/>
                <w:color w:val="23282D"/>
                <w:sz w:val="21"/>
                <w:szCs w:val="21"/>
              </w:rPr>
              <w:t xml:space="preserve"/>
            </w:r>
          </w:p>
          <w:p>
            <w:pPr>
              <w:spacing w:after="0" w:line="290"/>
            </w:pPr>
            <w:r>
              <w:rPr>
                <w:rFonts w:ascii="Calibri" w:cs="Calibri" w:eastAsia="Calibri" w:hAnsi="Calibri"/>
                <w:color w:val="23282D"/>
                <w:sz w:val="21"/>
                <w:szCs w:val="21"/>
              </w:rPr>
              <w:t xml:space="preserve">We are not able to sign non-disclosure agreements before a first conversation. We see a high volume of technically adjacent companies and pre-emptive NDAs would make that impossible to manage responsibly. We treat everything you send as confidential in practice, and we do not share it outside the investment team and, where relevant, a bound expert reviewer.</w:t>
            </w:r>
          </w:p>
        </w:tc>
      </w:tr>
    </w:tbl>
    <w:p>
      <w:pPr>
        <w:spacing w:after="180"/>
      </w:pPr>
      <w:r>
        <w:t xml:space="preserve"/>
      </w:r>
    </w:p>
    <w:p>
      <w:pPr>
        <w:spacing w:after="140" w:line="290"/>
      </w:pPr>
      <w:r>
        <w:rPr>
          <w:rFonts w:ascii="Calibri" w:cs="Calibri" w:eastAsia="Calibri" w:hAnsi="Calibri"/>
          <w:b w:val="false"/>
          <w:bCs w:val="false"/>
          <w:i/>
          <w:iCs/>
          <w:color w:val="5A6472"/>
          <w:sz w:val="19"/>
          <w:szCs w:val="19"/>
        </w:rPr>
        <w:t xml:space="preserve">Publishing that the term sheet is issued after IC Level 1 rather than at the end is a real differentiator. Most funds leave founders guessing where in the process a term sheet appears. Saying it plainly is the kind of specificity that builds trust cheaply.</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15.2  Form fields</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600"/>
        <w:gridCol w:w="1300"/>
        <w:gridCol w:w="5460"/>
      </w:tblGrid>
      <w:tr>
        <w:trPr>
          <w:tblHeader/>
        </w:trPr>
        <w:tc>
          <w:tcPr>
            <w:tcW w:type="dxa" w:w="26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Field</w:t>
            </w:r>
          </w:p>
        </w:tc>
        <w:tc>
          <w:tcPr>
            <w:tcW w:type="dxa" w:w="13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Required</w:t>
            </w:r>
          </w:p>
        </w:tc>
        <w:tc>
          <w:tcPr>
            <w:tcW w:type="dxa" w:w="54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Note</w:t>
            </w:r>
          </w:p>
        </w:tc>
      </w:tr>
      <w:tr>
        <w:trPr>
          <w:cantSplit/>
        </w:trPr>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 name</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Allow "not yet incorporated"</w:t>
            </w:r>
          </w:p>
        </w:tc>
      </w:tr>
      <w:tr>
        <w:trPr>
          <w:cantSplit/>
        </w:trPr>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 name and email</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r>
          </w:p>
        </w:tc>
      </w:tr>
      <w:tr>
        <w:trPr>
          <w:cantSplit/>
        </w:trPr>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Website or LinkedIn</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w:t>
            </w:r>
          </w:p>
        </w:tc>
        <w:tc>
          <w:tcPr>
            <w:tcW w:type="dxa" w:w="5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r>
          </w:p>
        </w:tc>
      </w:tr>
      <w:tr>
        <w:trPr>
          <w:cantSplit/>
        </w:trPr>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Sector</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Dropdown of the six verticals plus "other"</w:t>
            </w:r>
          </w:p>
        </w:tc>
      </w:tr>
      <w:tr>
        <w:trPr>
          <w:cantSplit/>
        </w:trPr>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Institution of origin</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w:t>
            </w:r>
          </w:p>
        </w:tc>
        <w:tc>
          <w:tcPr>
            <w:tcW w:type="dxa" w:w="5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Free text — valuable sourcing data and directly relevant to the thesis</w:t>
            </w:r>
          </w:p>
        </w:tc>
      </w:tr>
      <w:tr>
        <w:trPr>
          <w:cantSplit/>
        </w:trPr>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Current TRL</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Dropdown with plain-English descriptions beside each level. Doubles as a self-qualification filter.</w:t>
            </w:r>
          </w:p>
        </w:tc>
      </w:tr>
      <w:tr>
        <w:trPr>
          <w:cantSplit/>
        </w:trPr>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are you building and why is it hard?</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Free text, 200-word limit</w:t>
            </w:r>
          </w:p>
        </w:tc>
      </w:tr>
      <w:tr>
        <w:trPr>
          <w:cantSplit/>
        </w:trPr>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have you raised so far, including grants?</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Yes</w:t>
            </w:r>
          </w:p>
        </w:tc>
        <w:tc>
          <w:tcPr>
            <w:tcW w:type="dxa" w:w="5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Short free text. Grant history is a strong quality signal and tells us where you are on the ladder.</w:t>
            </w:r>
          </w:p>
        </w:tc>
      </w:tr>
      <w:tr>
        <w:trPr>
          <w:cantSplit/>
        </w:trPr>
        <w:tc>
          <w:tcPr>
            <w:tcW w:type="dxa" w:w="2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Deck or technical document</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w:t>
            </w:r>
          </w:p>
        </w:tc>
        <w:tc>
          <w:tcPr>
            <w:tcW w:type="dxa" w:w="5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File upload, 25MB limit</w:t>
            </w:r>
          </w:p>
        </w:tc>
      </w:tr>
      <w:tr>
        <w:trPr>
          <w:cantSplit/>
        </w:trPr>
        <w:tc>
          <w:tcPr>
            <w:tcW w:type="dxa" w:w="2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How did you hear about us?</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w:t>
            </w:r>
          </w:p>
        </w:tc>
        <w:tc>
          <w:tcPr>
            <w:tcW w:type="dxa" w:w="5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Attribution data for content return on investment</w:t>
            </w:r>
          </w:p>
        </w:tc>
      </w:tr>
    </w:tbl>
    <w:p>
      <w:pPr>
        <w:spacing w:after="160"/>
      </w:pPr>
      <w:r>
        <w:t xml:space="preserve"/>
      </w:r>
    </w:p>
    <w:p>
      <w:pPr>
        <w:spacing w:after="140" w:line="290"/>
      </w:pPr>
      <w:r>
        <w:rPr>
          <w:rFonts w:ascii="Calibri" w:cs="Calibri" w:eastAsia="Calibri" w:hAnsi="Calibri"/>
          <w:b w:val="false"/>
          <w:bCs w:val="false"/>
          <w:i/>
          <w:iCs/>
          <w:color w:val="5A6472"/>
          <w:sz w:val="19"/>
          <w:szCs w:val="19"/>
        </w:rPr>
        <w:t xml:space="preserve">Keep the form to a single screen. Every additional required field measurably reduces completion, and the founders most likely to abandon a long form are senior technical people with other options.</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15.3  Commitment discipline</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OPERATIONAL WARNING</w:t>
            </w:r>
          </w:p>
          <w:p>
            <w:pPr>
              <w:spacing w:after="120" w:line="290"/>
            </w:pPr>
            <w:r>
              <w:rPr>
                <w:rFonts w:ascii="Calibri" w:cs="Calibri" w:eastAsia="Calibri" w:hAnsi="Calibri"/>
                <w:color w:val="23282D"/>
                <w:sz w:val="21"/>
                <w:szCs w:val="21"/>
              </w:rPr>
              <w:t xml:space="preserve">The ten-working-day response commitment is the most valuable sentence on this page and the easiest to break. Founders talk to each other, and a fund that publishes a response time and misses it acquires a reputation faster than one that never published a number.</w:t>
            </w:r>
          </w:p>
          <w:p>
            <w:pPr>
              <w:spacing w:after="0" w:line="290"/>
            </w:pPr>
            <w:r>
              <w:rPr>
                <w:rFonts w:ascii="Calibri" w:cs="Calibri" w:eastAsia="Calibri" w:hAnsi="Calibri"/>
                <w:color w:val="23282D"/>
                <w:sz w:val="21"/>
                <w:szCs w:val="21"/>
              </w:rPr>
              <w:t xml:space="preserve">With 200+ opportunities already evaluated and a four-person team, this needs instrumenting before it is published: a shared inbox with a named owner, a weekly triage slot, and a tracked service level. Either do that, or publish a number the team will hit in a busy quarter. Do not publish an aspiration.</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16  LP and Institutional</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COMPLIANCE GATE</w:t>
            </w:r>
          </w:p>
          <w:p>
            <w:pPr>
              <w:spacing w:after="120" w:line="290"/>
            </w:pPr>
            <w:r>
              <w:rPr>
                <w:rFonts w:ascii="Calibri" w:cs="Calibri" w:eastAsia="Calibri" w:hAnsi="Calibri"/>
                <w:color w:val="23282D"/>
                <w:sz w:val="21"/>
                <w:szCs w:val="21"/>
              </w:rPr>
              <w:t xml:space="preserve">This is the highest-risk page on the site. Units of an AIF are offered by private placement, and a public web page can cross into solicitation more easily than most people assume. The PPM and the LP deck both carry explicit non-solicitation language; a website carries no such shelter unless it is drafted to.</w:t>
            </w:r>
          </w:p>
          <w:p>
            <w:pPr>
              <w:spacing w:after="120" w:line="290"/>
            </w:pPr>
            <w:r>
              <w:rPr>
                <w:rFonts w:ascii="Calibri" w:cs="Calibri" w:eastAsia="Calibri" w:hAnsi="Calibri"/>
                <w:color w:val="23282D"/>
                <w:sz w:val="21"/>
                <w:szCs w:val="21"/>
              </w:rPr>
              <w:t xml:space="preserve">Three options, in descending order of risk: a public informational page with no performance data and an explicit non-solicitation statement; a public landing page with substantive material behind a request-access gate; or no LP page at all, with LP conversations handled entirely offline.</w:t>
            </w:r>
          </w:p>
          <w:p>
            <w:pPr>
              <w:spacing w:after="0" w:line="290"/>
            </w:pPr>
            <w:r>
              <w:rPr>
                <w:rFonts w:ascii="Calibri" w:cs="Calibri" w:eastAsia="Calibri" w:hAnsi="Calibri"/>
                <w:color w:val="23282D"/>
                <w:sz w:val="21"/>
                <w:szCs w:val="21"/>
              </w:rPr>
              <w:t xml:space="preserve">Recommendation: the middle option. It preserves the credibility signal of an institutional-quality page while keeping substantive material out of public reach. Counsel decides.</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16.1  Public-facing copy</w:t>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F2F4F6"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DRAFT COPY — SUBJECT TO COUNSEL APPROVAL</w:t>
            </w:r>
          </w:p>
          <w:p>
            <w:pPr>
              <w:spacing w:after="120" w:line="290"/>
            </w:pPr>
            <w:r>
              <w:rPr>
                <w:rFonts w:ascii="Calibri" w:cs="Calibri" w:eastAsia="Calibri" w:hAnsi="Calibri"/>
                <w:color w:val="23282D"/>
                <w:sz w:val="21"/>
                <w:szCs w:val="21"/>
              </w:rPr>
              <w:t xml:space="preserve">FOR INSTITUTIONS AND PARTNERS</w:t>
            </w:r>
          </w:p>
          <w:p>
            <w:pPr>
              <w:spacing w:after="120" w:line="290"/>
            </w:pPr>
            <w:r>
              <w:rPr>
                <w:rFonts w:ascii="Calibri" w:cs="Calibri" w:eastAsia="Calibri" w:hAnsi="Calibri"/>
                <w:color w:val="23282D"/>
                <w:sz w:val="21"/>
                <w:szCs w:val="21"/>
              </w:rPr>
              <w:t xml:space="preserve">Y-Point exists because of a structural gap in how India funds its own research.</w:t>
            </w:r>
          </w:p>
          <w:p>
            <w:pPr>
              <w:spacing w:after="120" w:line="290"/>
            </w:pPr>
            <w:r>
              <w:rPr>
                <w:rFonts w:ascii="Calibri" w:cs="Calibri" w:eastAsia="Calibri" w:hAnsi="Calibri"/>
                <w:color w:val="23282D"/>
                <w:sz w:val="21"/>
                <w:szCs w:val="21"/>
              </w:rPr>
              <w:t xml:space="preserve">The country's institutions produce technically exceptional companies. Its venture industry is built to underwrite consumer adoption and software margins. The mismatch is not a matter of appetite — it is a matter of capability, access and time horizon, and it leaves a category of company systematically under-funded at the point where capital is most decisive.</w:t>
            </w:r>
          </w:p>
          <w:p>
            <w:pPr>
              <w:spacing w:after="120" w:line="290"/>
            </w:pPr>
            <w:r>
              <w:rPr>
                <w:rFonts w:ascii="Calibri" w:cs="Calibri" w:eastAsia="Calibri" w:hAnsi="Calibri"/>
                <w:color w:val="23282D"/>
                <w:sz w:val="21"/>
                <w:szCs w:val="21"/>
              </w:rPr>
              <w:t xml:space="preserve">Our approach rests on three things. Proprietary access, through SINE's standing pipeline of incubated companies and a direct channel to IIT Bombay's faculty, students and alumni. Diligence built around technical rather than commercial risk, with independent expert validation as a standard step. And portfolio construction designed for long development cycles, with substantial capital reserved for follow-on.</w:t>
            </w:r>
          </w:p>
          <w:p>
            <w:pPr>
              <w:spacing w:after="120" w:line="290"/>
            </w:pPr>
            <w:r>
              <w:rPr>
                <w:rFonts w:ascii="Calibri" w:cs="Calibri" w:eastAsia="Calibri" w:hAnsi="Calibri"/>
                <w:color w:val="23282D"/>
                <w:sz w:val="21"/>
                <w:szCs w:val="21"/>
              </w:rPr>
              <w:t xml:space="preserve">We work with institutional investors, family offices, corporates, public sector undertakings and development finance institutions seeking considered exposure to Indian deep technology.</w:t>
            </w:r>
          </w:p>
          <w:p>
            <w:pPr>
              <w:spacing w:after="120" w:line="290"/>
            </w:pPr>
            <w:r>
              <w:rPr>
                <w:rFonts w:ascii="Calibri" w:cs="Calibri" w:eastAsia="Calibri" w:hAnsi="Calibri"/>
                <w:color w:val="23282D"/>
                <w:sz w:val="21"/>
                <w:szCs w:val="21"/>
              </w:rPr>
              <w:t xml:space="preserve">This page is for information only. It does not constitute an offer of, or an invitation to subscribe for, units in the Fund. Any offer is made solely through the Fund's private placement memorandum to eligible investors.</w:t>
            </w:r>
          </w:p>
          <w:p>
            <w:pPr>
              <w:spacing w:after="0" w:line="290"/>
            </w:pPr>
            <w:r>
              <w:rPr>
                <w:rFonts w:ascii="Calibri" w:cs="Calibri" w:eastAsia="Calibri" w:hAnsi="Calibri"/>
                <w:color w:val="23282D"/>
                <w:sz w:val="21"/>
                <w:szCs w:val="21"/>
              </w:rPr>
              <w:t xml:space="preserve">[ Request an introduction ]</w:t>
            </w:r>
          </w:p>
        </w:tc>
      </w:tr>
    </w:tbl>
    <w:p>
      <w:pPr>
        <w:spacing w:after="180"/>
      </w:pPr>
      <w:r>
        <w:t xml:space="preserve"/>
      </w:r>
    </w:p>
    <w:p>
      <w:pPr>
        <w:pStyle w:val="Heading2"/>
        <w:spacing w:after="140" w:before="320"/>
      </w:pPr>
      <w:r>
        <w:rPr>
          <w:rFonts w:ascii="Calibri" w:cs="Calibri" w:eastAsia="Calibri" w:hAnsi="Calibri"/>
          <w:b/>
          <w:bCs/>
          <w:color w:val="14304A"/>
          <w:sz w:val="26"/>
          <w:szCs w:val="26"/>
        </w:rPr>
        <w:t xml:space="preserve">16.2  Gated material</w:t>
      </w:r>
    </w:p>
    <w:p>
      <w:pPr>
        <w:spacing w:after="140" w:line="290"/>
      </w:pPr>
      <w:r>
        <w:rPr>
          <w:rFonts w:ascii="Calibri" w:cs="Calibri" w:eastAsia="Calibri" w:hAnsi="Calibri"/>
          <w:b w:val="false"/>
          <w:bCs w:val="false"/>
          <w:i w:val="false"/>
          <w:iCs w:val="false"/>
          <w:color w:val="23282D"/>
          <w:sz w:val="21"/>
          <w:szCs w:val="21"/>
        </w:rPr>
        <w:t xml:space="preserve">Behind the request-access gate, subject to counsel: strategy overview, portfolio construction approach, team and investment committee in depth, governance and reporting framework, and contact routing.</w:t>
      </w:r>
    </w:p>
    <w:p>
      <w:pPr>
        <w:spacing w:after="140" w:line="290"/>
      </w:pPr>
      <w:r>
        <w:rPr>
          <w:rFonts w:ascii="Calibri" w:cs="Calibri" w:eastAsia="Calibri" w:hAnsi="Calibri"/>
          <w:b w:val="false"/>
          <w:bCs w:val="false"/>
          <w:i/>
          <w:iCs/>
          <w:color w:val="5A6472"/>
          <w:sz w:val="19"/>
          <w:szCs w:val="19"/>
        </w:rPr>
        <w:t xml:space="preserve">Note carefully: gating does not make performance data publishable. SINE's historical returns, individual track records and the first-close figure stay out of the gated pack too, unless counsel specifically clears each one and the gate is a verified eligible-investor check rather than an email capture. An email-gated PDF is a public document with extra steps.</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17  Contact and Careers</w:t>
      </w:r>
    </w:p>
    <w:p>
      <w:pPr>
        <w:pStyle w:val="Heading2"/>
        <w:spacing w:after="140" w:before="320"/>
      </w:pPr>
      <w:r>
        <w:rPr>
          <w:rFonts w:ascii="Calibri" w:cs="Calibri" w:eastAsia="Calibri" w:hAnsi="Calibri"/>
          <w:b/>
          <w:bCs/>
          <w:color w:val="14304A"/>
          <w:sz w:val="26"/>
          <w:szCs w:val="26"/>
        </w:rPr>
        <w:t xml:space="preserve">17.1  Contact</w:t>
      </w:r>
    </w:p>
    <w:p>
      <w:pPr>
        <w:spacing w:after="140" w:line="290"/>
      </w:pPr>
      <w:r>
        <w:rPr>
          <w:rFonts w:ascii="Calibri" w:cs="Calibri" w:eastAsia="Calibri" w:hAnsi="Calibri"/>
          <w:b w:val="false"/>
          <w:bCs w:val="false"/>
          <w:i w:val="false"/>
          <w:iCs w:val="false"/>
          <w:color w:val="23282D"/>
          <w:sz w:val="21"/>
          <w:szCs w:val="21"/>
        </w:rPr>
        <w:t xml:space="preserve">Routed rather than generic. A single catch-all address guarantees that founder submissions, LP enquiries and press requests arrive in the same place and are all answered slowly.</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200"/>
        <w:gridCol w:w="2800"/>
        <w:gridCol w:w="4360"/>
      </w:tblGrid>
      <w:tr>
        <w:trPr>
          <w:tblHeader/>
        </w:trPr>
        <w:tc>
          <w:tcPr>
            <w:tcW w:type="dxa" w:w="22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Route</w:t>
            </w:r>
          </w:p>
        </w:tc>
        <w:tc>
          <w:tcPr>
            <w:tcW w:type="dxa" w:w="2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Destination</w:t>
            </w:r>
          </w:p>
        </w:tc>
        <w:tc>
          <w:tcPr>
            <w:tcW w:type="dxa" w:w="4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Page copy</w:t>
            </w:r>
          </w:p>
        </w:tc>
      </w:tr>
      <w:tr>
        <w:trPr>
          <w:cantSplit/>
        </w:trPr>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 form</w:t>
            </w:r>
          </w:p>
        </w:tc>
        <w:tc>
          <w:tcPr>
            <w:tcW w:type="dxa" w:w="4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Raising, or thinking about it? Use the application form — it reaches the investment team directly.</w:t>
            </w:r>
          </w:p>
        </w:tc>
      </w:tr>
      <w:tr>
        <w:trPr>
          <w:cantSplit/>
        </w:trPr>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Institutions and LPs</w:t>
            </w:r>
          </w:p>
        </w:tc>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[dedicated address]</w:t>
            </w:r>
          </w:p>
        </w:tc>
        <w:tc>
          <w:tcPr>
            <w:tcW w:type="dxa" w:w="4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For institutional and partnership enquiries.</w:t>
            </w:r>
          </w:p>
        </w:tc>
      </w:tr>
      <w:tr>
        <w:trPr>
          <w:cantSplit/>
        </w:trPr>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Compliance and regulatory</w:t>
            </w:r>
          </w:p>
        </w:tc>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compliance@y-point.vc</w:t>
            </w:r>
          </w:p>
        </w:tc>
        <w:tc>
          <w:tcPr>
            <w:tcW w:type="dxa" w:w="4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For regulatory, compliance and formal correspondence.</w:t>
            </w:r>
          </w:p>
        </w:tc>
      </w:tr>
      <w:tr>
        <w:trPr>
          <w:cantSplit/>
        </w:trPr>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Press</w:t>
            </w:r>
          </w:p>
        </w:tc>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[dedicated address]</w:t>
            </w:r>
          </w:p>
        </w:tc>
        <w:tc>
          <w:tcPr>
            <w:tcW w:type="dxa" w:w="4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For media enquiries and interview requests.</w:t>
            </w:r>
          </w:p>
        </w:tc>
      </w:tr>
      <w:tr>
        <w:trPr>
          <w:cantSplit/>
        </w:trPr>
        <w:tc>
          <w:tcPr>
            <w:tcW w:type="dxa" w:w="22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and ecosystem</w:t>
            </w:r>
          </w:p>
        </w:tc>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address]</w:t>
            </w:r>
          </w:p>
        </w:tc>
        <w:tc>
          <w:tcPr>
            <w:tcW w:type="dxa" w:w="4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For incubation, programme and ecosystem questions. Route these to SINE rather than answering them from the fund.</w:t>
            </w:r>
          </w:p>
        </w:tc>
      </w:tr>
      <w:tr>
        <w:trPr>
          <w:cantSplit/>
        </w:trPr>
        <w:tc>
          <w:tcPr>
            <w:tcW w:type="dxa" w:w="22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General</w:t>
            </w:r>
          </w:p>
        </w:tc>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[dedicated address]</w:t>
            </w:r>
          </w:p>
        </w:tc>
        <w:tc>
          <w:tcPr>
            <w:tcW w:type="dxa" w:w="4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Everything else.</w:t>
            </w:r>
          </w:p>
        </w:tc>
      </w:tr>
    </w:tbl>
    <w:p>
      <w:pPr>
        <w:spacing w:after="160"/>
      </w:pPr>
      <w:r>
        <w:t xml:space="preserve"/>
      </w:r>
    </w:p>
    <w:p>
      <w:pPr>
        <w:spacing w:after="140" w:line="290"/>
      </w:pPr>
      <w:r>
        <w:rPr>
          <w:rFonts w:ascii="Calibri" w:cs="Calibri" w:eastAsia="Calibri" w:hAnsi="Calibri"/>
          <w:b w:val="false"/>
          <w:bCs w:val="false"/>
          <w:i/>
          <w:iCs/>
          <w:color w:val="5A6472"/>
          <w:sz w:val="19"/>
          <w:szCs w:val="19"/>
        </w:rPr>
        <w:t xml:space="preserve">Publish the registered office — SINE Office, 5th Floor, RBTIC Building, A S Marg, IIT Bombay, Powai, Mumbai 400076 — with a map. The campus address is itself a credibility signal; use it prominently rather than burying it in the footer.</w:t>
      </w:r>
    </w:p>
    <w:p>
      <w:pPr>
        <w:spacing w:after="180"/>
      </w:pPr>
      <w:r>
        <w:t xml:space="preserve"/>
      </w:r>
    </w:p>
    <w:p>
      <w:pPr>
        <w:pStyle w:val="Heading2"/>
        <w:spacing w:after="140" w:before="320"/>
      </w:pPr>
      <w:r>
        <w:rPr>
          <w:rFonts w:ascii="Calibri" w:cs="Calibri" w:eastAsia="Calibri" w:hAnsi="Calibri"/>
          <w:b/>
          <w:bCs/>
          <w:color w:val="14304A"/>
          <w:sz w:val="26"/>
          <w:szCs w:val="26"/>
        </w:rPr>
        <w:t xml:space="preserve">17.2  Careers</w:t>
      </w:r>
    </w:p>
    <w:p>
      <w:pPr>
        <w:spacing w:after="140" w:line="290"/>
      </w:pPr>
      <w:r>
        <w:rPr>
          <w:rFonts w:ascii="Calibri" w:cs="Calibri" w:eastAsia="Calibri" w:hAnsi="Calibri"/>
          <w:b w:val="false"/>
          <w:bCs w:val="false"/>
          <w:i w:val="false"/>
          <w:iCs w:val="false"/>
          <w:color w:val="23282D"/>
          <w:sz w:val="21"/>
          <w:szCs w:val="21"/>
        </w:rPr>
        <w:t xml:space="preserve">Phase 3. Two sections: roles at the Fund, and a portfolio jobs board. The jobs board is a meaningful founder-facing benefit and costs little once there are enough companies to populate it — defer until at least eight portfolio companies are hiring.</w:t>
      </w:r>
    </w:p>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18  Voice and style guide</w:t>
      </w:r>
    </w:p>
    <w:p>
      <w:pPr>
        <w:pStyle w:val="Heading2"/>
        <w:spacing w:after="140" w:before="320"/>
      </w:pPr>
      <w:r>
        <w:rPr>
          <w:rFonts w:ascii="Calibri" w:cs="Calibri" w:eastAsia="Calibri" w:hAnsi="Calibri"/>
          <w:b/>
          <w:bCs/>
          <w:color w:val="14304A"/>
          <w:sz w:val="26"/>
          <w:szCs w:val="26"/>
        </w:rPr>
        <w:t xml:space="preserve">18.1  The register</w:t>
      </w:r>
    </w:p>
    <w:p>
      <w:pPr>
        <w:spacing w:after="140" w:line="290"/>
      </w:pPr>
      <w:r>
        <w:rPr>
          <w:rFonts w:ascii="Calibri" w:cs="Calibri" w:eastAsia="Calibri" w:hAnsi="Calibri"/>
          <w:b w:val="false"/>
          <w:bCs w:val="false"/>
          <w:i w:val="false"/>
          <w:iCs w:val="false"/>
          <w:color w:val="23282D"/>
          <w:sz w:val="21"/>
          <w:szCs w:val="21"/>
        </w:rPr>
        <w:t xml:space="preserve">Y-Point sits under IIT Bombay's institutional brand, which creates a pull toward safe, formal, ministerial prose. Resist it within limits. Institutional credibility comes from the governance page, the registration number and the investment committee; it does not need to come from the adjectives. The founders Y-Point wants are technical people who are unusually good at detecting language that means nothing.</w:t>
      </w:r>
    </w:p>
    <w:p>
      <w:pPr>
        <w:spacing w:after="14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4680"/>
        <w:gridCol w:w="4680"/>
      </w:tblGrid>
      <w:tr>
        <w:trPr>
          <w:tblHeader/>
        </w:trPr>
        <w:tc>
          <w:tcPr>
            <w:tcW w:type="dxa" w:w="468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We write like this</w:t>
            </w:r>
          </w:p>
        </w:tc>
        <w:tc>
          <w:tcPr>
            <w:tcW w:type="dxa" w:w="468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Not like this</w:t>
            </w:r>
          </w:p>
        </w:tc>
      </w:tr>
      <w:tr>
        <w:trPr>
          <w:cantSplit/>
        </w:trPr>
        <w:tc>
          <w:tcPr>
            <w:tcW w:type="dxa" w:w="468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are sceptical of anything whose defensibility rests on a prompt. We will say so in the first meeting rather than the fourth."</w:t>
            </w:r>
          </w:p>
        </w:tc>
        <w:tc>
          <w:tcPr>
            <w:tcW w:type="dxa" w:w="468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take a considered view across the AI value chain."</w:t>
            </w:r>
          </w:p>
        </w:tc>
      </w:tr>
      <w:tr>
        <w:trPr>
          <w:cantSplit/>
        </w:trPr>
        <w:tc>
          <w:tcPr>
            <w:tcW w:type="dxa" w:w="468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"At TRL 5 there is often no traction to discuss, so we assess the technology."</w:t>
            </w:r>
          </w:p>
        </w:tc>
        <w:tc>
          <w:tcPr>
            <w:tcW w:type="dxa" w:w="468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employ a rigorous and holistic diligence methodology."</w:t>
            </w:r>
          </w:p>
        </w:tc>
      </w:tr>
      <w:tr>
        <w:trPr>
          <w:cantSplit/>
        </w:trPr>
        <w:tc>
          <w:tcPr>
            <w:tcW w:type="dxa" w:w="468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"Grams in a lab with no process engineering work and no view on scale-up."</w:t>
            </w:r>
          </w:p>
        </w:tc>
        <w:tc>
          <w:tcPr>
            <w:tcW w:type="dxa" w:w="468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"Early-stage materials opportunities may not meet our criteria."</w:t>
            </w:r>
          </w:p>
        </w:tc>
      </w:tr>
      <w:tr>
        <w:trPr>
          <w:cantSplit/>
        </w:trPr>
        <w:tc>
          <w:tcPr>
            <w:tcW w:type="dxa" w:w="468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read everything, and we answer — including when the answer is no."</w:t>
            </w:r>
          </w:p>
        </w:tc>
        <w:tc>
          <w:tcPr>
            <w:tcW w:type="dxa" w:w="468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submissions are carefully evaluated by our team."</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18.2  Rules</w:t>
      </w:r>
    </w:p>
    <w:p>
      <w:pPr>
        <w:pStyle w:val="ListParagraph"/>
        <w:numPr>
          <w:ilvl w:val="0"/>
          <w:numId w:val="2"/>
        </w:numPr>
        <w:spacing w:after="80" w:line="285"/>
      </w:pPr>
      <w:r>
        <w:rPr>
          <w:rFonts w:ascii="Calibri" w:cs="Calibri" w:eastAsia="Calibri" w:hAnsi="Calibri"/>
          <w:color w:val="23282D"/>
          <w:sz w:val="21"/>
          <w:szCs w:val="21"/>
        </w:rPr>
        <w:t xml:space="preserve">Short sentences carry more authority than long ones. Cut every sentence that can lose a clause.</w:t>
      </w:r>
    </w:p>
    <w:p>
      <w:pPr>
        <w:pStyle w:val="ListParagraph"/>
        <w:numPr>
          <w:ilvl w:val="0"/>
          <w:numId w:val="2"/>
        </w:numPr>
        <w:spacing w:after="80" w:line="285"/>
      </w:pPr>
      <w:r>
        <w:rPr>
          <w:rFonts w:ascii="Calibri" w:cs="Calibri" w:eastAsia="Calibri" w:hAnsi="Calibri"/>
          <w:color w:val="23282D"/>
          <w:sz w:val="21"/>
          <w:szCs w:val="21"/>
        </w:rPr>
        <w:t xml:space="preserve">Specific beats superlative. "532 startups since 2004" beats "decades of experience". A named scheme beats "government support".</w:t>
      </w:r>
    </w:p>
    <w:p>
      <w:pPr>
        <w:pStyle w:val="ListParagraph"/>
        <w:numPr>
          <w:ilvl w:val="0"/>
          <w:numId w:val="2"/>
        </w:numPr>
        <w:spacing w:after="80" w:line="285"/>
      </w:pPr>
      <w:r>
        <w:rPr>
          <w:rFonts w:ascii="Calibri" w:cs="Calibri" w:eastAsia="Calibri" w:hAnsi="Calibri"/>
          <w:color w:val="23282D"/>
          <w:sz w:val="21"/>
          <w:szCs w:val="21"/>
        </w:rPr>
        <w:t xml:space="preserve">Never claim a capability that cannot be cashed. Every network claim on this site should survive a founder testing it.</w:t>
      </w:r>
    </w:p>
    <w:p>
      <w:pPr>
        <w:pStyle w:val="ListParagraph"/>
        <w:numPr>
          <w:ilvl w:val="0"/>
          <w:numId w:val="2"/>
        </w:numPr>
        <w:spacing w:after="80" w:line="285"/>
      </w:pPr>
      <w:r>
        <w:rPr>
          <w:rFonts w:ascii="Calibri" w:cs="Calibri" w:eastAsia="Calibri" w:hAnsi="Calibri"/>
          <w:color w:val="23282D"/>
          <w:sz w:val="21"/>
          <w:szCs w:val="21"/>
        </w:rPr>
        <w:t xml:space="preserve">Write to one reader. "You" throughout founder-facing pages.</w:t>
      </w:r>
    </w:p>
    <w:p>
      <w:pPr>
        <w:pStyle w:val="ListParagraph"/>
        <w:numPr>
          <w:ilvl w:val="0"/>
          <w:numId w:val="2"/>
        </w:numPr>
        <w:spacing w:after="80" w:line="285"/>
      </w:pPr>
      <w:r>
        <w:rPr>
          <w:rFonts w:ascii="Calibri" w:cs="Calibri" w:eastAsia="Calibri" w:hAnsi="Calibri"/>
          <w:color w:val="23282D"/>
          <w:sz w:val="21"/>
          <w:szCs w:val="21"/>
        </w:rPr>
        <w:t xml:space="preserve">Ban list: ecosystem-enabler, synergies, holistic, leverage as a verb, game-changing, disruptive, unlock, journey, passionate, best-in-class, and world-class applied to ourselves.</w:t>
      </w:r>
    </w:p>
    <w:p>
      <w:pPr>
        <w:pStyle w:val="ListParagraph"/>
        <w:numPr>
          <w:ilvl w:val="0"/>
          <w:numId w:val="2"/>
        </w:numPr>
        <w:spacing w:after="80" w:line="285"/>
      </w:pPr>
      <w:r>
        <w:rPr>
          <w:rFonts w:ascii="Calibri" w:cs="Calibri" w:eastAsia="Calibri" w:hAnsi="Calibri"/>
          <w:color w:val="23282D"/>
          <w:sz w:val="21"/>
          <w:szCs w:val="21"/>
        </w:rPr>
        <w:t xml:space="preserve">Indian English spelling. ₹ with crore for Indian figures; convert to USD only where an international audience needs it, and state the exchange assumption.</w:t>
      </w:r>
    </w:p>
    <w:p>
      <w:pPr>
        <w:pStyle w:val="ListParagraph"/>
        <w:numPr>
          <w:ilvl w:val="0"/>
          <w:numId w:val="2"/>
        </w:numPr>
        <w:spacing w:after="80" w:line="285"/>
      </w:pPr>
      <w:r>
        <w:rPr>
          <w:rFonts w:ascii="Calibri" w:cs="Calibri" w:eastAsia="Calibri" w:hAnsi="Calibri"/>
          <w:color w:val="23282D"/>
          <w:sz w:val="21"/>
          <w:szCs w:val="21"/>
        </w:rPr>
        <w:t xml:space="preserve">Numerals above nine; spell out one to nine except in data displays.</w:t>
      </w:r>
    </w:p>
    <w:p>
      <w:pPr>
        <w:pStyle w:val="ListParagraph"/>
        <w:numPr>
          <w:ilvl w:val="0"/>
          <w:numId w:val="2"/>
        </w:numPr>
        <w:spacing w:after="80" w:line="285"/>
      </w:pPr>
      <w:r>
        <w:rPr>
          <w:rFonts w:ascii="Calibri" w:cs="Calibri" w:eastAsia="Calibri" w:hAnsi="Calibri"/>
          <w:color w:val="23282D"/>
          <w:sz w:val="21"/>
          <w:szCs w:val="21"/>
        </w:rPr>
        <w:t xml:space="preserve">Sentence case for headings, except the all-caps section labels, which are a deliberate device.</w:t>
      </w:r>
    </w:p>
    <w:p>
      <w:pPr>
        <w:spacing w:after="180"/>
      </w:pPr>
      <w:r>
        <w:t xml:space="preserve"/>
      </w:r>
    </w:p>
    <w:p>
      <w:pPr>
        <w:pStyle w:val="Heading2"/>
        <w:spacing w:after="140" w:before="320"/>
      </w:pPr>
      <w:r>
        <w:rPr>
          <w:rFonts w:ascii="Calibri" w:cs="Calibri" w:eastAsia="Calibri" w:hAnsi="Calibri"/>
          <w:b/>
          <w:bCs/>
          <w:color w:val="14304A"/>
          <w:sz w:val="26"/>
          <w:szCs w:val="26"/>
        </w:rPr>
        <w:t xml:space="preserve">18.3  Terminology</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120"/>
        <w:gridCol w:w="3120"/>
        <w:gridCol w:w="3120"/>
      </w:tblGrid>
      <w:tr>
        <w:trPr>
          <w:tblHeader/>
        </w:trPr>
        <w:tc>
          <w:tcPr>
            <w:tcW w:type="dxa" w:w="312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Use</w:t>
            </w:r>
          </w:p>
        </w:tc>
        <w:tc>
          <w:tcPr>
            <w:tcW w:type="dxa" w:w="312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Do not use</w:t>
            </w:r>
          </w:p>
        </w:tc>
        <w:tc>
          <w:tcPr>
            <w:tcW w:type="dxa" w:w="312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Why</w:t>
            </w:r>
          </w:p>
        </w:tc>
      </w:tr>
      <w:tr>
        <w:trPr>
          <w:cantSplit/>
        </w:trPr>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 tech</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deeptech, Deep-Tech, DeepTech</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Consistency. The LP deck uses DeepTech; the website should standardise on the open two-word form, which is how the sector writes it publicly.</w:t>
            </w:r>
          </w:p>
        </w:tc>
      </w:tr>
      <w:tr>
        <w:trPr>
          <w:cantSplit/>
        </w:trPr>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pre-seed and seed</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early stage</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Precision. "Early stage" tells a founder nothing about whether to apply.</w:t>
            </w:r>
          </w:p>
        </w:tc>
      </w:tr>
      <w:tr>
        <w:trPr>
          <w:cantSplit/>
        </w:trPr>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the technology business incubator of IIT Bombay</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Bombay's incubator</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Full formal description on first mention; short form thereafter.</w:t>
            </w:r>
          </w:p>
        </w:tc>
      </w:tr>
      <w:tr>
        <w:trPr>
          <w:cantSplit/>
        </w:trPr>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Fund</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we, in any regulated statement</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Regulated statements attach to the entity, not to the team.</w:t>
            </w:r>
          </w:p>
        </w:tc>
      </w:tr>
      <w:tr>
        <w:trPr>
          <w:cantSplit/>
        </w:trPr>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founders</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entrepreneurs</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Warmer and more specific.</w:t>
            </w:r>
          </w:p>
        </w:tc>
      </w:tr>
      <w:tr>
        <w:trPr>
          <w:cantSplit/>
        </w:trPr>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independent expert validation</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due diligence</w:t>
            </w:r>
          </w:p>
        </w:tc>
        <w:tc>
          <w:tcPr>
            <w:tcW w:type="dxa" w:w="312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Describes what actually happens and differentiates it.</w:t>
            </w:r>
          </w:p>
        </w:tc>
      </w:tr>
      <w:tr>
        <w:trPr>
          <w:cantSplit/>
        </w:trPr>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incubation portfolio</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our portfolio, when referring to SINE companies</w:t>
            </w:r>
          </w:p>
        </w:tc>
        <w:tc>
          <w:tcPr>
            <w:tcW w:type="dxa" w:w="312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Non-negotiable. See Section 4.4.</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19  Compliance and legal review checklist</w:t>
      </w:r>
    </w:p>
    <w:p>
      <w:pPr>
        <w:spacing w:after="140" w:line="290"/>
      </w:pPr>
      <w:r>
        <w:rPr>
          <w:rFonts w:ascii="Calibri" w:cs="Calibri" w:eastAsia="Calibri" w:hAnsi="Calibri"/>
          <w:b w:val="false"/>
          <w:bCs w:val="false"/>
          <w:i w:val="false"/>
          <w:iCs w:val="false"/>
          <w:color w:val="23282D"/>
          <w:sz w:val="21"/>
          <w:szCs w:val="21"/>
        </w:rPr>
        <w:t xml:space="preserve">Every item is a gate. Nothing in the relevant column goes live until sign-off is recorded. Build this into the project plan rather than treating it as a final review — several items have long lead times, portfolio and advisor consents in particular.</w:t>
      </w:r>
    </w:p>
    <w:p>
      <w:pPr>
        <w:spacing w:after="16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500"/>
        <w:gridCol w:w="3600"/>
        <w:gridCol w:w="1600"/>
        <w:gridCol w:w="1660"/>
      </w:tblGrid>
      <w:tr>
        <w:trPr>
          <w:tblHeader/>
        </w:trPr>
        <w:tc>
          <w:tcPr>
            <w:tcW w:type="dxa" w:w="2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36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Requirement</w:t>
            </w:r>
          </w:p>
        </w:tc>
        <w:tc>
          <w:tcPr>
            <w:tcW w:type="dxa" w:w="16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c>
          <w:tcPr>
            <w:tcW w:type="dxa" w:w="16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Blocks</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Non-solicitation review</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Confirm no page constitutes an offer or invitation to subscribe. LP page and the homepage's right-hand CTA are the exposure points.</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 page, Home</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Performance firewall</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Confirm Section 4.2 has been applied: no SINE returns, no company multiples, no individual track record figures, no first-close amount, anywhere on the site or in gated material.</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 + Principal</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pages</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heritage labelling</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Confirm every SINE company reference carries visible separation per Section 4.4.</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 + SINE</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Platform, Focus Areas</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band wording</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Finalise the footer disclaimer including registration number and risk language.</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pages</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facts verification</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Every stated figure reconciled to the current PPM and registration certificate.</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Compliance</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 About</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consents</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Written consent per company; SHA publicity clauses checked; lead investor timing respected.</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Home</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Service provider naming</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Consent from trustee, counsel and any other named provider.</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Governance</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and IIT Bombay brand use</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Approval for names, marks and statistics; confirm current figures.</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 Platform, About</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 and IC bio approval</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Individual written approval of each bio and photograph. IC members and advisors are external — allow weeks, not days.</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Each individual</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 content review</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review of each practical guidance piece; general-information disclaimer applied.</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Data protection</w:t>
            </w:r>
          </w:p>
        </w:tc>
        <w:tc>
          <w:tcPr>
            <w:tcW w:type="dxa" w:w="3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Privacy policy covering the application form and newsletter; DPDP Act compliance; consent capture and retention policy.</w:t>
            </w:r>
          </w:p>
        </w:tc>
        <w:tc>
          <w:tcPr>
            <w:tcW w:type="dxa" w:w="16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16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 Newsletter</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Accessibility</w:t>
            </w:r>
          </w:p>
        </w:tc>
        <w:tc>
          <w:tcPr>
            <w:tcW w:type="dxa" w:w="3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WCAG 2.1 AA as a build standard, particularly hero contrast and the TRL graphic.</w:t>
            </w:r>
          </w:p>
        </w:tc>
        <w:tc>
          <w:tcPr>
            <w:tcW w:type="dxa" w:w="16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Agency</w:t>
            </w:r>
          </w:p>
        </w:tc>
        <w:tc>
          <w:tcPr>
            <w:tcW w:type="dxa" w:w="16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pages</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20  Build roadmap</w:t>
      </w:r>
    </w:p>
    <w:p>
      <w:pPr>
        <w:spacing w:after="140" w:line="290"/>
      </w:pPr>
      <w:r>
        <w:rPr>
          <w:rFonts w:ascii="Calibri" w:cs="Calibri" w:eastAsia="Calibri" w:hAnsi="Calibri"/>
          <w:b w:val="false"/>
          <w:bCs w:val="false"/>
          <w:i w:val="false"/>
          <w:iCs w:val="false"/>
          <w:color w:val="23282D"/>
          <w:sz w:val="21"/>
          <w:szCs w:val="21"/>
        </w:rPr>
        <w:t xml:space="preserve">Four phases across approximately twenty-six weeks. The sequencing principle: ship a small, complete site rather than a large, partial one. A visitor cannot tell what you chose not to build; they can immediately tell what you built badly.</w:t>
      </w:r>
    </w:p>
    <w:p>
      <w:pPr>
        <w:spacing w:after="160"/>
      </w:pPr>
      <w:r>
        <w:t xml:space="preserve"/>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CRITICAL PATH</w:t>
            </w:r>
          </w:p>
          <w:p>
            <w:pPr>
              <w:spacing w:after="120" w:line="290"/>
            </w:pPr>
            <w:r>
              <w:rPr>
                <w:rFonts w:ascii="Calibri" w:cs="Calibri" w:eastAsia="Calibri" w:hAnsi="Calibri"/>
                <w:color w:val="23282D"/>
                <w:sz w:val="21"/>
                <w:szCs w:val="21"/>
              </w:rPr>
              <w:t xml:space="preserve">The critical path does not run through design or development. It runs through four things that are easy to start late and impossible to accelerate: counsel's position on the non-solicitation boundary and the performance firewall; portfolio disclosure consents; SINE approval of brand and statistics; and written bio consent from external investment committee members and advisors.</w:t>
            </w:r>
          </w:p>
          <w:p>
            <w:pPr>
              <w:spacing w:after="0" w:line="290"/>
            </w:pPr>
            <w:r>
              <w:rPr>
                <w:rFonts w:ascii="Calibri" w:cs="Calibri" w:eastAsia="Calibri" w:hAnsi="Calibri"/>
                <w:color w:val="23282D"/>
                <w:sz w:val="21"/>
                <w:szCs w:val="21"/>
              </w:rPr>
              <w:t xml:space="preserve">Start all four in Week 1, before a single page is designed. The IC and advisor consents in particular involve senior external people with their own approval processes, and some may decline.</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20.1  Phase 0 — Foundations (Weeks 1–3)</w:t>
      </w:r>
    </w:p>
    <w:p>
      <w:pPr>
        <w:spacing w:after="140" w:line="290"/>
      </w:pPr>
      <w:r>
        <w:rPr>
          <w:rFonts w:ascii="Calibri" w:cs="Calibri" w:eastAsia="Calibri" w:hAnsi="Calibri"/>
          <w:b w:val="false"/>
          <w:bCs w:val="false"/>
          <w:i w:val="false"/>
          <w:iCs w:val="false"/>
          <w:color w:val="23282D"/>
          <w:sz w:val="21"/>
          <w:szCs w:val="21"/>
        </w:rPr>
        <w:t xml:space="preserve">Nothing is designed in this phase. Everything that blocks later work is started.</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800"/>
        <w:gridCol w:w="2400"/>
        <w:gridCol w:w="2100"/>
        <w:gridCol w:w="2060"/>
      </w:tblGrid>
      <w:tr>
        <w:trPr>
          <w:tblHeader/>
        </w:trPr>
        <w:tc>
          <w:tcPr>
            <w:tcW w:type="dxa" w:w="2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Workstream</w:t>
            </w:r>
          </w:p>
        </w:tc>
        <w:tc>
          <w:tcPr>
            <w:tcW w:type="dxa" w:w="2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Output</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c>
          <w:tcPr>
            <w:tcW w:type="dxa" w:w="20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Dependency</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position paper</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Counsel's written view on the non-solicitation boundary, the performance firewall in Section 4, LP page construction and mandatory disclosures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None — start Week 1</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consent campaign</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Written consent and approved one-liner from each candidate company</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SHA publicity review per company</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Bio consent campaign</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Written approval from four investment team members, five external IC members and six advisors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None — longest lead time on the project</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approvals</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Sign-off on brand use, logo lockup and current statistics</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SINE</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None — start Week 1</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facts reconciliation</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Verified figures sheet reconciled to PPM and registration certificate</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Compliance</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Appendix A of this document</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Sector decision</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Resolve the nuclear question in Section 22</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team</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None</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 asset collection</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Photographs shot consistently, approved bios, coverage tags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Operations</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Bio consents</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Platform decision</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CMS, hosting, domain, analytics; build versus agency</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Budget approval</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Brand assets</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Logo files, colour tokens, typography, photography direction from the new SINE identity</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New identity finalised</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20.2  Phase 1 — Core launch (Weeks 4–11)</w:t>
      </w:r>
    </w:p>
    <w:p>
      <w:pPr>
        <w:spacing w:after="140" w:line="290"/>
      </w:pPr>
      <w:r>
        <w:rPr>
          <w:rFonts w:ascii="Calibri" w:cs="Calibri" w:eastAsia="Calibri" w:hAnsi="Calibri"/>
          <w:b w:val="false"/>
          <w:bCs w:val="false"/>
          <w:i w:val="false"/>
          <w:iCs w:val="false"/>
          <w:color w:val="23282D"/>
          <w:sz w:val="21"/>
          <w:szCs w:val="21"/>
        </w:rPr>
        <w:t xml:space="preserve">Fourteen pages, all of them complete. This is the launchable site. Portfolio is built but kept out of primary navigation until three companies can be named.</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800"/>
        <w:gridCol w:w="2400"/>
        <w:gridCol w:w="2100"/>
        <w:gridCol w:w="2060"/>
      </w:tblGrid>
      <w:tr>
        <w:trPr>
          <w:tblHeader/>
        </w:trPr>
        <w:tc>
          <w:tcPr>
            <w:tcW w:type="dxa" w:w="2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Workstream</w:t>
            </w:r>
          </w:p>
        </w:tc>
        <w:tc>
          <w:tcPr>
            <w:tcW w:type="dxa" w:w="2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Output</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c>
          <w:tcPr>
            <w:tcW w:type="dxa" w:w="20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Dependency</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Copy finalisation</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 six focus areas, Platform, About/Fund, Team, Apply, Contact, legal pages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copywriter</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Sections 7–18 of this document</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 system</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Type scale, colour, grid, component library, mobile breakpoints</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Brand assets</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Key page design</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 focus area template, Platform, Apply</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Copy at 80%</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Build</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Responsive build on the chosen CMS</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 sign-off</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Application form</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Form, routing, acknowledgement email, internal triage workflow and service level</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 + Operations</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Response-time process agreed per Section 15.3</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review</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Full copy review against the Section 19 checklist</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Copy final</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QA and accessibility</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Cross-browser, mobile, WCAG AA, performance budget</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Build complete</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Launch</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DNS cutover, analytics, search console, sitemap submission</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gates cleared</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20.3  Phase 2 — Depth (Weeks 12–19)</w:t>
      </w:r>
    </w:p>
    <w:p>
      <w:pPr>
        <w:spacing w:after="140" w:line="290"/>
      </w:pPr>
      <w:r>
        <w:rPr>
          <w:rFonts w:ascii="Calibri" w:cs="Calibri" w:eastAsia="Calibri" w:hAnsi="Calibri"/>
          <w:b w:val="false"/>
          <w:bCs w:val="false"/>
          <w:i w:val="false"/>
          <w:iCs w:val="false"/>
          <w:color w:val="23282D"/>
          <w:sz w:val="21"/>
          <w:szCs w:val="21"/>
        </w:rPr>
        <w:t xml:space="preserve">The pages that create compounding value. Deliberately after launch, because they need sustained input rather than a sprint.</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800"/>
        <w:gridCol w:w="2400"/>
        <w:gridCol w:w="2100"/>
        <w:gridCol w:w="2060"/>
      </w:tblGrid>
      <w:tr>
        <w:trPr>
          <w:tblHeader/>
        </w:trPr>
        <w:tc>
          <w:tcPr>
            <w:tcW w:type="dxa" w:w="2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Workstream</w:t>
            </w:r>
          </w:p>
        </w:tc>
        <w:tc>
          <w:tcPr>
            <w:tcW w:type="dxa" w:w="2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Output</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c>
          <w:tcPr>
            <w:tcW w:type="dxa" w:w="20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Dependency</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Lab to Market</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Page plus the TRL graphic built to publication quality</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Design + Principal</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design commission in its own right</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Insights infrastructure</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Hub, three streams, article template, tagging, author pages</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1 design system</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 pieces 01–03</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IP assignment; non-dilutive stack; defence procurement</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team + IC input</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review of each</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SINE Advantage</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Sub-page making the ecosystem relationship concrete; IIT Bombay ecosystem map</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SINE</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input</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Governance page</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Structure, oversight, IC process, service providers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Counsel</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Provider consents</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 page</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Public copy plus gated material and request-access flow</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 + Counsel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position paper</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Newsletter</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Template, provider, signup flow, first issue</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Marketing</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Content cadence agreed</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activation</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Move Portfolio into primary navigation</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Three companies consented</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20.4  Phase 3 — The engine (Weeks 20–26 and ongoing)</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800"/>
        <w:gridCol w:w="2400"/>
        <w:gridCol w:w="2100"/>
        <w:gridCol w:w="2060"/>
      </w:tblGrid>
      <w:tr>
        <w:trPr>
          <w:tblHeader/>
        </w:trPr>
        <w:tc>
          <w:tcPr>
            <w:tcW w:type="dxa" w:w="28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Workstream</w:t>
            </w:r>
          </w:p>
        </w:tc>
        <w:tc>
          <w:tcPr>
            <w:tcW w:type="dxa" w:w="2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Output</w:t>
            </w:r>
          </w:p>
        </w:tc>
        <w:tc>
          <w:tcPr>
            <w:tcW w:type="dxa" w:w="2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c>
          <w:tcPr>
            <w:tcW w:type="dxa" w:w="20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Dependency</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 pieces 04–06</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Pre-tape-out; deep tech term sheets; hardware pricing</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team</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review</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 detail pages</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Full page per consented portfolio company</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 sign-off per page</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filters</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Activate sector, stage and institution filters</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Twelve or more companies live</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 profile pages</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Individual pages doubling as Insights author pages</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Development</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Bios and Insights live</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Careers</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 roles plus portfolio jobs board</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Operations</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Eight or more companies hiring</w:t>
            </w:r>
          </w:p>
        </w:tc>
      </w:tr>
      <w:tr>
        <w:trPr>
          <w:cantSplit/>
        </w:trPr>
        <w:tc>
          <w:tcPr>
            <w:tcW w:type="dxa" w:w="28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Perspectives cadence</w:t>
            </w:r>
          </w:p>
        </w:tc>
        <w:tc>
          <w:tcPr>
            <w:tcW w:type="dxa" w:w="2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One partner essay per month, sustained</w:t>
            </w:r>
          </w:p>
        </w:tc>
        <w:tc>
          <w:tcPr>
            <w:tcW w:type="dxa" w:w="2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team</w:t>
            </w:r>
          </w:p>
        </w:tc>
        <w:tc>
          <w:tcPr>
            <w:tcW w:type="dxa" w:w="2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Editorial calendar owned by one named person</w:t>
            </w:r>
          </w:p>
        </w:tc>
      </w:tr>
      <w:tr>
        <w:trPr>
          <w:cantSplit/>
        </w:trPr>
        <w:tc>
          <w:tcPr>
            <w:tcW w:type="dxa" w:w="28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Measurement review</w:t>
            </w:r>
          </w:p>
        </w:tc>
        <w:tc>
          <w:tcPr>
            <w:tcW w:type="dxa" w:w="2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Quarterly review against Section 20.5</w:t>
            </w:r>
          </w:p>
        </w:tc>
        <w:tc>
          <w:tcPr>
            <w:tcW w:type="dxa" w:w="2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Principal</w:t>
            </w:r>
          </w:p>
        </w:tc>
        <w:tc>
          <w:tcPr>
            <w:tcW w:type="dxa" w:w="2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Analytics from launch</w:t>
            </w:r>
          </w:p>
        </w:tc>
      </w:tr>
    </w:tbl>
    <w:p>
      <w:pPr>
        <w:spacing w:after="220"/>
      </w:pPr>
      <w:r>
        <w:t xml:space="preserve"/>
      </w:r>
    </w:p>
    <w:p>
      <w:pPr>
        <w:pStyle w:val="Heading2"/>
        <w:spacing w:after="140" w:before="320"/>
      </w:pPr>
      <w:r>
        <w:rPr>
          <w:rFonts w:ascii="Calibri" w:cs="Calibri" w:eastAsia="Calibri" w:hAnsi="Calibri"/>
          <w:b/>
          <w:bCs/>
          <w:color w:val="14304A"/>
          <w:sz w:val="26"/>
          <w:szCs w:val="26"/>
        </w:rPr>
        <w:t xml:space="preserve">20.5  How we will know it worked</w:t>
      </w:r>
    </w:p>
    <w:p>
      <w:pPr>
        <w:spacing w:after="140" w:line="290"/>
      </w:pPr>
      <w:r>
        <w:rPr>
          <w:rFonts w:ascii="Calibri" w:cs="Calibri" w:eastAsia="Calibri" w:hAnsi="Calibri"/>
          <w:b w:val="false"/>
          <w:bCs w:val="false"/>
          <w:i w:val="false"/>
          <w:iCs w:val="false"/>
          <w:color w:val="23282D"/>
          <w:sz w:val="21"/>
          <w:szCs w:val="21"/>
        </w:rPr>
        <w:t xml:space="preserve">Traffic is not the objective. For a fund with proprietary sourcing, the website's job is to widen the top of the funnel beyond existing relationships and to qualify what arrives. Measure that.</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400"/>
        <w:gridCol w:w="2900"/>
        <w:gridCol w:w="3060"/>
      </w:tblGrid>
      <w:tr>
        <w:trPr>
          <w:tblHeader/>
        </w:trPr>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Metric</w:t>
            </w:r>
          </w:p>
        </w:tc>
        <w:tc>
          <w:tcPr>
            <w:tcW w:type="dxa" w:w="29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Baseline</w:t>
            </w:r>
          </w:p>
        </w:tc>
        <w:tc>
          <w:tcPr>
            <w:tcW w:type="dxa" w:w="30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Target by month 6</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Qualified applications per month</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Measure from launch</w:t>
            </w:r>
          </w:p>
        </w:tc>
        <w:tc>
          <w:tcPr>
            <w:tcW w:type="dxa" w:w="3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Set after two months of data. Quality is judged by what reaches a first call, not by volume.</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Application-to-first-call conversion</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Measure from launch</w:t>
            </w:r>
          </w:p>
        </w:tc>
        <w:tc>
          <w:tcPr>
            <w:tcW w:type="dxa" w:w="3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Rising over time is the signal that the published bar and the TRL self-qualification field are working.</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Share of applications from outside the SINE and IIT Bombay network</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Currently near zero by construction</w:t>
            </w:r>
          </w:p>
        </w:tc>
        <w:tc>
          <w:tcPr>
            <w:tcW w:type="dxa" w:w="3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Any meaningful share is evidence the site is doing something the existing network cannot.</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Applications correctly self-identifying as TRL 4–7</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Measure from launch</w:t>
            </w:r>
          </w:p>
        </w:tc>
        <w:tc>
          <w:tcPr>
            <w:tcW w:type="dxa" w:w="3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rising share means the Lab to Market page is filtering as intended.</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 pieces as an entry page</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Zero at launch</w:t>
            </w:r>
          </w:p>
        </w:tc>
        <w:tc>
          <w:tcPr>
            <w:tcW w:type="dxa" w:w="3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 top-three entry point by month six.</w:t>
            </w:r>
          </w:p>
        </w:tc>
      </w:tr>
      <w:tr>
        <w:trPr>
          <w:cantSplit/>
        </w:trPr>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Response time against the published commitment</w:t>
            </w:r>
          </w:p>
        </w:tc>
        <w:tc>
          <w:tcPr>
            <w:tcW w:type="dxa" w:w="29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Set at launch</w:t>
            </w:r>
          </w:p>
        </w:tc>
        <w:tc>
          <w:tcPr>
            <w:tcW w:type="dxa" w:w="30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Ninety percent within the published window. Below that, change the published number.</w:t>
            </w:r>
          </w:p>
        </w:tc>
      </w:tr>
      <w:tr>
        <w:trPr>
          <w:cantSplit/>
        </w:trPr>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Inbound institutional conversations attributed to the site</w:t>
            </w:r>
          </w:p>
        </w:tc>
        <w:tc>
          <w:tcPr>
            <w:tcW w:type="dxa" w:w="29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Measure from launch</w:t>
            </w:r>
          </w:p>
        </w:tc>
        <w:tc>
          <w:tcPr>
            <w:tcW w:type="dxa" w:w="30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Any is good. For this audience the site is a credibility qualifier, not a lead generator.</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21  Content calendar — first six months</w:t>
      </w:r>
    </w:p>
    <w:p>
      <w:pPr>
        <w:spacing w:after="140" w:line="290"/>
      </w:pPr>
      <w:r>
        <w:rPr>
          <w:rFonts w:ascii="Calibri" w:cs="Calibri" w:eastAsia="Calibri" w:hAnsi="Calibri"/>
          <w:b w:val="false"/>
          <w:bCs w:val="false"/>
          <w:i w:val="false"/>
          <w:iCs w:val="false"/>
          <w:color w:val="23282D"/>
          <w:sz w:val="21"/>
          <w:szCs w:val="21"/>
        </w:rPr>
        <w:t xml:space="preserve">One Handbook piece and one Perspective per month. This is a commitment a four-person team can meet; anything more ambitious will fail in a busy quarter, and an abandoned content section is worse than a small one. News items publish as they occur and are not scheduled here.</w:t>
      </w:r>
    </w:p>
    <w:p>
      <w:pPr>
        <w:spacing w:after="16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1100"/>
        <w:gridCol w:w="3300"/>
        <w:gridCol w:w="3400"/>
        <w:gridCol w:w="1560"/>
      </w:tblGrid>
      <w:tr>
        <w:trPr>
          <w:tblHeader/>
        </w:trPr>
        <w:tc>
          <w:tcPr>
            <w:tcW w:type="dxa" w:w="1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Month</w:t>
            </w:r>
          </w:p>
        </w:tc>
        <w:tc>
          <w:tcPr>
            <w:tcW w:type="dxa" w:w="33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Handbook piece</w:t>
            </w:r>
          </w:p>
        </w:tc>
        <w:tc>
          <w:tcPr>
            <w:tcW w:type="dxa" w:w="34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Perspective essay</w:t>
            </w:r>
          </w:p>
        </w:tc>
        <w:tc>
          <w:tcPr>
            <w:tcW w:type="dxa" w:w="15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Owner</w:t>
            </w:r>
          </w:p>
        </w:tc>
      </w:tr>
      <w:tr>
        <w:trPr>
          <w:cantSplit/>
        </w:trPr>
        <w:tc>
          <w:tcPr>
            <w:tcW w:type="dxa" w:w="1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M1</w:t>
            </w:r>
          </w:p>
        </w:tc>
        <w:tc>
          <w:tcPr>
            <w:tcW w:type="dxa" w:w="3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Assigning IP Out of an IIT</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Why India's deep tech gap is a capital-type problem, not a capital-volume problem</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r>
        <w:trPr>
          <w:cantSplit/>
        </w:trPr>
        <w:tc>
          <w:tcPr>
            <w:tcW w:type="dxa" w:w="1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M2</w:t>
            </w:r>
          </w:p>
        </w:tc>
        <w:tc>
          <w:tcPr>
            <w:tcW w:type="dxa" w:w="3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Indian Non-Dilutive Capital Stack, Mapped to TRL</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we look for in a pre-seed deep tech team</w:t>
            </w:r>
          </w:p>
        </w:tc>
        <w:tc>
          <w:tcPr>
            <w:tcW w:type="dxa" w:w="1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r>
        <w:trPr>
          <w:cantSplit/>
        </w:trPr>
        <w:tc>
          <w:tcPr>
            <w:tcW w:type="dxa" w:w="1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M3</w:t>
            </w:r>
          </w:p>
        </w:tc>
        <w:tc>
          <w:tcPr>
            <w:tcW w:type="dxa" w:w="3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Selling to Defence: iDEX, TDF and the Procurement Cycle</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Indian semiconductor opportunity is in design and tooling, not fabs</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r>
        <w:trPr>
          <w:cantSplit/>
        </w:trPr>
        <w:tc>
          <w:tcPr>
            <w:tcW w:type="dxa" w:w="1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M4</w:t>
            </w:r>
          </w:p>
        </w:tc>
        <w:tc>
          <w:tcPr>
            <w:tcW w:type="dxa" w:w="3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Before Tape-Out: What a Fabless Startup Needs in Place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Materials companies are process companies, and the industry underwrites them wrong</w:t>
            </w:r>
          </w:p>
        </w:tc>
        <w:tc>
          <w:tcPr>
            <w:tcW w:type="dxa" w:w="1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r>
        <w:trPr>
          <w:cantSplit/>
        </w:trPr>
        <w:tc>
          <w:tcPr>
            <w:tcW w:type="dxa" w:w="1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M5</w:t>
            </w:r>
          </w:p>
        </w:tc>
        <w:tc>
          <w:tcPr>
            <w:tcW w:type="dxa" w:w="3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Belongs in a Deep Tech Pre-Seed Term Sheet</w:t>
            </w:r>
          </w:p>
        </w:tc>
        <w:tc>
          <w:tcPr>
            <w:tcW w:type="dxa" w:w="34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nineteen-month problem: why Indian deep tech takes twice as long to reach seed</w:t>
            </w:r>
          </w:p>
        </w:tc>
        <w:tc>
          <w:tcPr>
            <w:tcW w:type="dxa" w:w="15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r>
        <w:trPr>
          <w:cantSplit/>
        </w:trPr>
        <w:tc>
          <w:tcPr>
            <w:tcW w:type="dxa" w:w="1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M6</w:t>
            </w:r>
          </w:p>
        </w:tc>
        <w:tc>
          <w:tcPr>
            <w:tcW w:type="dxa" w:w="3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Pricing Hardware When Your BOM Is 60% of Revenue</w:t>
            </w:r>
          </w:p>
        </w:tc>
        <w:tc>
          <w:tcPr>
            <w:tcW w:type="dxa" w:w="34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What two decades of incubation data says about why deep tech companies fail</w:t>
            </w:r>
          </w:p>
        </w:tc>
        <w:tc>
          <w:tcPr>
            <w:tcW w:type="dxa" w:w="15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t>
            </w:r>
          </w:p>
        </w:tc>
      </w:tr>
    </w:tbl>
    <w:p>
      <w:pPr>
        <w:spacing w:after="200"/>
      </w:pPr>
      <w:r>
        <w:t xml:space="preserve"/>
      </w:r>
    </w:p>
    <w:tbl>
      <w:tblPr>
        <w:tblW w:type="dxa" w:w="9360"/>
        <w:tblBorders>
          <w:top w:val="single" w:color="D7DCE1" w:sz="2"/>
          <w:left w:val="single" w:color="1F6F78" w:sz="18"/>
          <w:bottom w:val="single" w:color="D7DCE1" w:sz="2"/>
          <w:right w:val="single" w:color="D7DCE1" w:sz="2"/>
          <w:insideH w:val="none" w:color="FFFFFF" w:sz="0"/>
          <w:insideV w:val="none" w:color="FFFFFF" w:sz="0"/>
        </w:tblBorders>
      </w:tblPr>
      <w:tblGrid>
        <w:gridCol w:w="9360"/>
      </w:tblGrid>
      <w:tr>
        <w:tc>
          <w:tcPr>
            <w:tcW w:type="dxa" w:w="9360"/>
            <w:shd w:fill="EAF1F1" w:val="clear"/>
            <w:tcMar>
              <w:top w:type="dxa" w:w="160"/>
              <w:left w:type="dxa" w:w="220"/>
              <w:bottom w:type="dxa" w:w="160"/>
              <w:right w:type="dxa" w:w="220"/>
            </w:tcMar>
          </w:tcPr>
          <w:p>
            <w:pPr>
              <w:spacing w:after="100"/>
            </w:pPr>
            <w:r>
              <w:rPr>
                <w:rFonts w:ascii="Calibri" w:cs="Calibri" w:eastAsia="Calibri" w:hAnsi="Calibri"/>
                <w:b/>
                <w:bCs/>
                <w:color w:val="1F6F78"/>
                <w:spacing w:val="20"/>
                <w:sz w:val="17"/>
                <w:szCs w:val="17"/>
              </w:rPr>
              <w:t xml:space="preserve">TWO EDITORIAL NOTES</w:t>
            </w:r>
          </w:p>
          <w:p>
            <w:pPr>
              <w:spacing w:after="120" w:line="290"/>
            </w:pPr>
            <w:r>
              <w:rPr>
                <w:rFonts w:ascii="Calibri" w:cs="Calibri" w:eastAsia="Calibri" w:hAnsi="Calibri"/>
                <w:color w:val="23282D"/>
                <w:sz w:val="21"/>
                <w:szCs w:val="21"/>
              </w:rPr>
              <w:t xml:space="preserve">The month-six Perspective — what SINE's two decades of incubation experience shows about deep tech failure modes — is the highest-value piece on this calendar and the only one no other fund in India could write. It requires SINE to permit qualitative analysis of its historical cohort. Start that conversation in Phase 1, not month five. Note the constraint: the piece must draw on patterns and failure modes, not on the return figures in Section 4.2.</w:t>
            </w:r>
          </w:p>
          <w:p>
            <w:pPr>
              <w:spacing w:after="0" w:line="290"/>
            </w:pPr>
            <w:r>
              <w:rPr>
                <w:rFonts w:ascii="Calibri" w:cs="Calibri" w:eastAsia="Calibri" w:hAnsi="Calibri"/>
                <w:color w:val="23282D"/>
                <w:sz w:val="21"/>
                <w:szCs w:val="21"/>
              </w:rPr>
              <w:t xml:space="preserve">The month-five Perspective on the nineteen-month problem is the piece most likely to get picked up by the trade press, because it has a number in it that nobody has written about. Consider moving it earlier if press coverage matters more than sequence.</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22  Assumptions and open decisions register</w:t>
      </w:r>
    </w:p>
    <w:p>
      <w:pPr>
        <w:spacing w:after="140" w:line="290"/>
      </w:pPr>
      <w:r>
        <w:rPr>
          <w:rFonts w:ascii="Calibri" w:cs="Calibri" w:eastAsia="Calibri" w:hAnsi="Calibri"/>
          <w:b w:val="false"/>
          <w:bCs w:val="false"/>
          <w:i w:val="false"/>
          <w:iCs w:val="false"/>
          <w:color w:val="23282D"/>
          <w:sz w:val="21"/>
          <w:szCs w:val="21"/>
        </w:rPr>
        <w:t xml:space="preserve">Version 2.0 has closed most of the questions left open in Version 1.0 by reconciling to the fund documents. The following remain genuinely open and need a decision from the team.</w:t>
      </w:r>
    </w:p>
    <w:p>
      <w:pPr>
        <w:spacing w:after="16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2500"/>
        <w:gridCol w:w="3500"/>
        <w:gridCol w:w="2000"/>
        <w:gridCol w:w="1360"/>
      </w:tblGrid>
      <w:tr>
        <w:trPr>
          <w:tblHeader/>
        </w:trPr>
        <w:tc>
          <w:tcPr>
            <w:tcW w:type="dxa" w:w="2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Open question</w:t>
            </w:r>
          </w:p>
        </w:tc>
        <w:tc>
          <w:tcPr>
            <w:tcW w:type="dxa" w:w="3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Position taken in this draft</w:t>
            </w:r>
          </w:p>
        </w:tc>
        <w:tc>
          <w:tcPr>
            <w:tcW w:type="dxa" w:w="2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Affects</w:t>
            </w:r>
          </w:p>
        </w:tc>
        <w:tc>
          <w:tcPr>
            <w:tcW w:type="dxa" w:w="1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Decide by</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Nuclear and energy technologies: a seventh vertical, or not a vertical at all?</w:t>
            </w:r>
          </w:p>
        </w:tc>
        <w:tc>
          <w:tcPr>
            <w:tcW w:type="dxa" w:w="3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Omitted as a standalone page. The December 2025 press release names nuclear among the focus sectors; the September 2026 LP deck does not. Energy is covered within Climate &amp; CleanTech. If the team intends to invest in the SMR supply chain, that is a real thesis and deserves its own page — but it should be in the LP deck first.</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Sections 7.5, 8, 9</w:t>
            </w:r>
          </w:p>
        </w:tc>
        <w:tc>
          <w:tcPr>
            <w:tcW w:type="dxa" w:w="1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Which portfolio companies can be named publicly?</w:t>
            </w:r>
          </w:p>
        </w:tc>
        <w:tc>
          <w:tcPr>
            <w:tcW w:type="dxa" w:w="3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None assumed. Portfolio built to accept companies as consents arrive, kept out of primary navigation until three are live.</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Sections 7.7, 12</w:t>
            </w:r>
          </w:p>
        </w:tc>
        <w:tc>
          <w:tcPr>
            <w:tcW w:type="dxa" w:w="1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 and ongoing</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Does the site support the ongoing raise?</w:t>
            </w:r>
          </w:p>
        </w:tc>
        <w:tc>
          <w:tcPr>
            <w:tcW w:type="dxa" w:w="3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Indirectly. Informational LP page, substantive material gated, no solicitation, no first-close figure.</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Sections 7.9, 16</w:t>
            </w:r>
          </w:p>
        </w:tc>
        <w:tc>
          <w:tcPr>
            <w:tcW w:type="dxa" w:w="1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 with counsel</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Direct voice, or institutional register?</w:t>
            </w:r>
          </w:p>
        </w:tc>
        <w:tc>
          <w:tcPr>
            <w:tcW w:type="dxa" w:w="3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Direct. The draft copy carries edge, particularly the fast-no blocks. This is a deliberate bet that technical founders respond to it and that the governance page carries the institutional weight.</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All copy</w:t>
            </w:r>
          </w:p>
        </w:tc>
        <w:tc>
          <w:tcPr>
            <w:tcW w:type="dxa" w:w="1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Replacing the existing y-point.vc site, or extending it?</w:t>
            </w:r>
          </w:p>
        </w:tc>
        <w:tc>
          <w:tcPr>
            <w:tcW w:type="dxa" w:w="3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Full replacement assumed. The existing positioning line about the intersection of translational research and real-world impact is preserved in spirit in Section 14.1.</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20</w:t>
            </w:r>
          </w:p>
        </w:tc>
        <w:tc>
          <w:tcPr>
            <w:tcW w:type="dxa" w:w="1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Will external IC members and advisors consent to public bios?</w:t>
            </w:r>
          </w:p>
        </w:tc>
        <w:tc>
          <w:tcPr>
            <w:tcW w:type="dxa" w:w="3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Assumed yes for IC, uncertain for advisors. Several are serving executives at listed companies with their own disclosure policies.</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14.2</w:t>
            </w:r>
          </w:p>
        </w:tc>
        <w:tc>
          <w:tcPr>
            <w:tcW w:type="dxa" w:w="1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 — start immediately</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Application response-time commitment</w:t>
            </w:r>
          </w:p>
        </w:tc>
        <w:tc>
          <w:tcPr>
            <w:tcW w:type="dxa" w:w="3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Ten working days, pending operational instrumentation.</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15</w:t>
            </w:r>
          </w:p>
        </w:tc>
        <w:tc>
          <w:tcPr>
            <w:tcW w:type="dxa" w:w="1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1</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Is there budget for a design commission on the TRL graphic?</w:t>
            </w:r>
          </w:p>
        </w:tc>
        <w:tc>
          <w:tcPr>
            <w:tcW w:type="dxa" w:w="3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Assumed yes. It is the single highest-value visual asset on the site and will be reused in LP and conference material.</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11</w:t>
            </w:r>
          </w:p>
        </w:tc>
        <w:tc>
          <w:tcPr>
            <w:tcW w:type="dxa" w:w="1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1</w:t>
            </w:r>
          </w:p>
        </w:tc>
      </w:tr>
      <w:tr>
        <w:trPr>
          <w:cantSplit/>
        </w:trPr>
        <w:tc>
          <w:tcPr>
            <w:tcW w:type="dxa" w:w="2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Build route — agency or in-house?</w:t>
            </w:r>
          </w:p>
        </w:tc>
        <w:tc>
          <w:tcPr>
            <w:tcW w:type="dxa" w:w="3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Not assumed. Materially affects the Section 20 timeline.</w:t>
            </w:r>
          </w:p>
        </w:tc>
        <w:tc>
          <w:tcPr>
            <w:tcW w:type="dxa" w:w="2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20</w:t>
            </w:r>
          </w:p>
        </w:tc>
        <w:tc>
          <w:tcPr>
            <w:tcW w:type="dxa" w:w="1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0</w:t>
            </w:r>
          </w:p>
        </w:tc>
      </w:tr>
      <w:tr>
        <w:trPr>
          <w:cantSplit/>
        </w:trPr>
        <w:tc>
          <w:tcPr>
            <w:tcW w:type="dxa" w:w="2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Who owns the editorial calendar?</w:t>
            </w:r>
          </w:p>
        </w:tc>
        <w:tc>
          <w:tcPr>
            <w:tcW w:type="dxa" w:w="3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Unassigned. Content programmes fail when ownership is collective.</w:t>
            </w:r>
          </w:p>
        </w:tc>
        <w:tc>
          <w:tcPr>
            <w:tcW w:type="dxa" w:w="2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Section 21</w:t>
            </w:r>
          </w:p>
        </w:tc>
        <w:tc>
          <w:tcPr>
            <w:tcW w:type="dxa" w:w="1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Phase 2</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23  Appendix A — verified fund fact sheet</w:t>
      </w:r>
    </w:p>
    <w:p>
      <w:pPr>
        <w:spacing w:after="140" w:line="290"/>
      </w:pPr>
      <w:r>
        <w:rPr>
          <w:rFonts w:ascii="Calibri" w:cs="Calibri" w:eastAsia="Calibri" w:hAnsi="Calibri"/>
          <w:b w:val="false"/>
          <w:bCs w:val="false"/>
          <w:i w:val="false"/>
          <w:iCs w:val="false"/>
          <w:color w:val="23282D"/>
          <w:sz w:val="21"/>
          <w:szCs w:val="21"/>
        </w:rPr>
        <w:t xml:space="preserve">Every figure below is reconciled to the SEBI certificate of registration, the attested PPM extract, or the September 2026 LP deck. Use this sheet as the authority for any number that appears on the website. Where the website and this sheet diverge, the website is wrong.</w:t>
      </w:r>
    </w:p>
    <w:p>
      <w:pPr>
        <w:spacing w:after="160"/>
      </w:pPr>
      <w:r>
        <w:t xml:space="preserve"/>
      </w:r>
    </w:p>
    <w:p>
      <w:pPr>
        <w:pStyle w:val="Heading2"/>
        <w:spacing w:after="140" w:before="320"/>
      </w:pPr>
      <w:r>
        <w:rPr>
          <w:rFonts w:ascii="Calibri" w:cs="Calibri" w:eastAsia="Calibri" w:hAnsi="Calibri"/>
          <w:b/>
          <w:bCs/>
          <w:color w:val="14304A"/>
          <w:sz w:val="26"/>
          <w:szCs w:val="26"/>
        </w:rPr>
        <w:t xml:space="preserve">23.1  Entity and regulatory</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000"/>
        <w:gridCol w:w="6360"/>
      </w:tblGrid>
      <w:tr>
        <w:trPr>
          <w:tblHeader/>
        </w:trPr>
        <w:tc>
          <w:tcPr>
            <w:tcW w:type="dxa" w:w="3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6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Verified value</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Venture Capital Fund-I</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Venture Capital Trust, established under the Indian Trusts Act, 1882</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Scheme status</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Fund-I is the first scheme of the Trust</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SEBI category</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Category II Alternative Investment Fund</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SEBI registration number</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IN/AIF2/25-26/1937</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Date of registration</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29 October 2025, Mumbai</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Investment Manager</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Investment Advisors Private Limited (wholly owned by SINE)</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Co-Sponsor I</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Y-Point Investment Advisors Private Limited</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Co-Sponsor II</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Innoventure Private Trust (trustee: MITCON Credentia; sole beneficiary: IIT Bombay)</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Trustee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Vistra ITCL (India) Limited</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and tax advisor</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Nishith Desai Associates</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Merchant banker</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Religo Capital Advisors Private Limited — internal reference only, do not publish without consent</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Custodian</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To be appointed</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Registered office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Office, 5th Floor, RBTIC Building, A S Marg, IIT Bombay, Powai, Mumbai 400076, Maharashtra</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23.2  Commercial terms — publishable</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000"/>
        <w:gridCol w:w="6360"/>
      </w:tblGrid>
      <w:tr>
        <w:trPr>
          <w:tblHeader/>
        </w:trPr>
        <w:tc>
          <w:tcPr>
            <w:tcW w:type="dxa" w:w="3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6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Verified value</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Target corpus</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₹250 crore</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Stage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Pre-seed and seed</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TRL entry band</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4–7</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Initial cheque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₹3–5 crore per company</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Initial deployment</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60% of investable corpus</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Follow-on reserve</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40% of investable corpus, against pre-agreed technical and commercial milestones</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 size</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25–30 companies</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 concentration limit</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10% of investable corpus, initial and follow-on combined</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Sector concentration limit</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20% of portfolio</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Term</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Close-ended; 10 years from First Closing, extendable by 2 years</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Sectors</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AI &amp; Advanced Computing; Advanced Manufacturing &amp; Semiconductor; Next Gen Materials; Space &amp; Defence; Climate &amp; CleanTech; Life Sciences</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23.3  SINE and IIT Bombay — publishable with attribution</w:t>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000"/>
        <w:gridCol w:w="6360"/>
      </w:tblGrid>
      <w:tr>
        <w:trPr>
          <w:tblHeader/>
        </w:trPr>
        <w:tc>
          <w:tcPr>
            <w:tcW w:type="dxa" w:w="30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Item</w:t>
            </w:r>
          </w:p>
        </w:tc>
        <w:tc>
          <w:tcPr>
            <w:tcW w:type="dxa" w:w="63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Verified value</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Startups supported by SINE</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532 (301 incubated, 231 through programmes)</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Innovators supported</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1,200+</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Current incubatees</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103</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IP assets generated</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300</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Jobs created</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Approximately 12,000</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Mentor network</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200+ mentors, 200+ investors, 25+ industry partners</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 alumni network</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65,000+</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Incubator network access</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60+ technology incubators nationwide</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SINE founded</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2004</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 QS rank</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 in India; 28 in the world for Engineering &amp; Technology — confirm currency before publishing</w:t>
            </w:r>
          </w:p>
        </w:tc>
      </w:tr>
      <w:tr>
        <w:trPr>
          <w:cantSplit/>
        </w:trPr>
        <w:tc>
          <w:tcPr>
            <w:tcW w:type="dxa" w:w="30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IIT Bombay structure</w:t>
            </w:r>
          </w:p>
        </w:tc>
        <w:tc>
          <w:tcPr>
            <w:tcW w:type="dxa" w:w="63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17 departments, 13 centres, 16 centres of excellence</w:t>
            </w:r>
          </w:p>
        </w:tc>
      </w:tr>
      <w:tr>
        <w:trPr>
          <w:cantSplit/>
        </w:trPr>
        <w:tc>
          <w:tcPr>
            <w:tcW w:type="dxa" w:w="30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Deep tech timing benchmark</w:t>
            </w:r>
          </w:p>
        </w:tc>
        <w:tc>
          <w:tcPr>
            <w:tcW w:type="dxa" w:w="63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Founding to seed 19 months versus 10 for non-deep-tech; seed to Series A 20 versus 16; Series A onward 14 versus 10. Source: Tracxn data and internal analysis — cite the source when publishing.</w:t>
            </w:r>
          </w:p>
        </w:tc>
      </w:tr>
    </w:tbl>
    <w:p>
      <w:pPr>
        <w:spacing w:after="200"/>
      </w:pPr>
      <w:r>
        <w:t xml:space="preserve"/>
      </w:r>
    </w:p>
    <w:p>
      <w:pPr>
        <w:pStyle w:val="Heading2"/>
        <w:spacing w:after="140" w:before="320"/>
      </w:pPr>
      <w:r>
        <w:rPr>
          <w:rFonts w:ascii="Calibri" w:cs="Calibri" w:eastAsia="Calibri" w:hAnsi="Calibri"/>
          <w:b/>
          <w:bCs/>
          <w:color w:val="14304A"/>
          <w:sz w:val="26"/>
          <w:szCs w:val="26"/>
        </w:rPr>
        <w:t xml:space="preserve">23.4  Not publishable — see Section 4.2</w:t>
      </w:r>
    </w:p>
    <w:tbl>
      <w:tblPr>
        <w:tblW w:type="dxa" w:w="9360"/>
        <w:tblBorders>
          <w:top w:val="single" w:color="D7DCE1" w:sz="2"/>
          <w:left w:val="single" w:color="9A3412" w:sz="18"/>
          <w:bottom w:val="single" w:color="D7DCE1" w:sz="2"/>
          <w:right w:val="single" w:color="D7DCE1" w:sz="2"/>
          <w:insideH w:val="none" w:color="FFFFFF" w:sz="0"/>
          <w:insideV w:val="none" w:color="FFFFFF" w:sz="0"/>
        </w:tblBorders>
      </w:tblPr>
      <w:tblGrid>
        <w:gridCol w:w="9360"/>
      </w:tblGrid>
      <w:tr>
        <w:tc>
          <w:tcPr>
            <w:tcW w:type="dxa" w:w="9360"/>
            <w:shd w:fill="FDF6E7" w:val="clear"/>
            <w:tcMar>
              <w:top w:type="dxa" w:w="160"/>
              <w:left w:type="dxa" w:w="220"/>
              <w:bottom w:type="dxa" w:w="160"/>
              <w:right w:type="dxa" w:w="220"/>
            </w:tcMar>
          </w:tcPr>
          <w:p>
            <w:pPr>
              <w:spacing w:after="100"/>
            </w:pPr>
            <w:r>
              <w:rPr>
                <w:rFonts w:ascii="Calibri" w:cs="Calibri" w:eastAsia="Calibri" w:hAnsi="Calibri"/>
                <w:b/>
                <w:bCs/>
                <w:color w:val="9A3412"/>
                <w:spacing w:val="20"/>
                <w:sz w:val="17"/>
                <w:szCs w:val="17"/>
              </w:rPr>
              <w:t xml:space="preserve">DO NOT PUBLISH</w:t>
            </w:r>
          </w:p>
          <w:p>
            <w:pPr>
              <w:spacing w:after="0" w:line="290"/>
            </w:pPr>
            <w:r>
              <w:rPr>
                <w:rFonts w:ascii="Calibri" w:cs="Calibri" w:eastAsia="Calibri" w:hAnsi="Calibri"/>
                <w:color w:val="23282D"/>
                <w:sz w:val="21"/>
                <w:szCs w:val="21"/>
              </w:rPr>
              <w:t xml:space="preserve">SINE historical investment returns and multiples · company-level MOIC data · individual team members' performance figures · first close amount and date · current pipeline and term sheet counts · fee structure, carry, hurdle and waterfall · entity PAN numbers · any forward-looking statement on fund size, returns or exits.</w:t>
            </w:r>
          </w:p>
        </w:tc>
      </w:tr>
    </w:tbl>
    <w:p>
      <w:r>
        <w:br w:type="page"/>
      </w:r>
    </w:p>
    <w:p>
      <w:pPr>
        <w:pStyle w:val="Heading1"/>
        <w:pBdr>
          <w:bottom w:val="single" w:color="1F6F78" w:sz="12" w:space="6"/>
        </w:pBdr>
        <w:spacing w:after="200" w:before="400"/>
      </w:pPr>
      <w:r>
        <w:rPr>
          <w:rFonts w:ascii="Calibri" w:cs="Calibri" w:eastAsia="Calibri" w:hAnsi="Calibri"/>
          <w:b/>
          <w:bCs/>
          <w:color w:val="14304A"/>
          <w:sz w:val="32"/>
          <w:szCs w:val="32"/>
        </w:rPr>
        <w:t xml:space="preserve">24  Appendix B — page inventory and copy volume</w:t>
      </w:r>
    </w:p>
    <w:p>
      <w:pPr>
        <w:spacing w:after="140" w:line="290"/>
      </w:pPr>
      <w:r>
        <w:rPr>
          <w:rFonts w:ascii="Calibri" w:cs="Calibri" w:eastAsia="Calibri" w:hAnsi="Calibri"/>
          <w:b w:val="false"/>
          <w:bCs w:val="false"/>
          <w:i w:val="false"/>
          <w:iCs w:val="false"/>
          <w:color w:val="23282D"/>
          <w:sz w:val="21"/>
          <w:szCs w:val="21"/>
        </w:rPr>
        <w:t xml:space="preserve">Working estimate for scoping a copywriter or an agency.</w:t>
      </w:r>
    </w:p>
    <w:p>
      <w:pPr>
        <w:spacing w:after="140"/>
      </w:pPr>
      <w:r>
        <w:t xml:space="preserve"/>
      </w:r>
    </w:p>
    <w:tbl>
      <w:tblPr>
        <w:tblW w:type="dxa" w:w="9360"/>
        <w:tblBorders>
          <w:top w:val="single" w:color="D7DCE1" w:sz="2"/>
          <w:left w:val="single" w:color="D7DCE1" w:sz="2"/>
          <w:bottom w:val="single" w:color="D7DCE1" w:sz="2"/>
          <w:right w:val="single" w:color="D7DCE1" w:sz="2"/>
          <w:insideH w:val="single" w:color="D7DCE1" w:sz="2"/>
          <w:insideV w:val="single" w:color="D7DCE1" w:sz="2"/>
        </w:tblBorders>
      </w:tblPr>
      <w:tblGrid>
        <w:gridCol w:w="3100"/>
        <w:gridCol w:w="1300"/>
        <w:gridCol w:w="1500"/>
        <w:gridCol w:w="3460"/>
      </w:tblGrid>
      <w:tr>
        <w:trPr>
          <w:tblHeader/>
        </w:trPr>
        <w:tc>
          <w:tcPr>
            <w:tcW w:type="dxa" w:w="31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Page</w:t>
            </w:r>
          </w:p>
        </w:tc>
        <w:tc>
          <w:tcPr>
            <w:tcW w:type="dxa" w:w="13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Phase</w:t>
            </w:r>
          </w:p>
        </w:tc>
        <w:tc>
          <w:tcPr>
            <w:tcW w:type="dxa" w:w="150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Est. words</w:t>
            </w:r>
          </w:p>
        </w:tc>
        <w:tc>
          <w:tcPr>
            <w:tcW w:type="dxa" w:w="3460"/>
            <w:shd w:fill="14304A" w:val="clear"/>
            <w:tcMar>
              <w:top w:type="dxa" w:w="100"/>
              <w:left w:type="dxa" w:w="140"/>
              <w:bottom w:type="dxa" w:w="100"/>
              <w:right w:type="dxa" w:w="140"/>
            </w:tcMar>
            <w:vAlign w:val="top"/>
          </w:tcPr>
          <w:p>
            <w:pPr>
              <w:spacing w:after="0" w:line="270"/>
            </w:pPr>
            <w:r>
              <w:rPr>
                <w:rFonts w:ascii="Calibri" w:cs="Calibri" w:eastAsia="Calibri" w:hAnsi="Calibri"/>
                <w:b/>
                <w:bCs/>
                <w:color w:val="FFFFFF"/>
                <w:sz w:val="18"/>
                <w:szCs w:val="18"/>
              </w:rPr>
              <w:t xml:space="preserve">Notes</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Home</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750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7</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Focus Areas hub</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8</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Six focus area pages</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3,600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9; approximately 600 words each</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Platform</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1,100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10</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About — The Fund</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500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14.1</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Team</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1,000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14.2; investment team plus IC</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Apply</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700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15</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Contact</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150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Legal pages</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1,800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Counsel-drafted</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Portfolio</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200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Plus per-company one-liners</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Lab to Market</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900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11; plus a major design commission</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The SINE Advantage</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700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Needs SINE input</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Governance</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450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Drafted in Section 14.3</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LP page</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450</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Plus gated material</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Insights infrastructure</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200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Template copy only</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Handbook pieces 01–06</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2–3</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1,800 each</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10,800 words total; the largest single content commitment</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Perspectives</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1,200 each</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Ongoing, monthly</w:t>
            </w:r>
          </w:p>
        </w:tc>
      </w:tr>
      <w:tr>
        <w:trPr>
          <w:cantSplit/>
        </w:trPr>
        <w:tc>
          <w:tcPr>
            <w:tcW w:type="dxa" w:w="31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Company detail pages</w:t>
            </w:r>
          </w:p>
        </w:tc>
        <w:tc>
          <w:tcPr>
            <w:tcW w:type="dxa" w:w="13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w:t>
            </w:r>
          </w:p>
        </w:tc>
        <w:tc>
          <w:tcPr>
            <w:tcW w:type="dxa" w:w="150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400 each</w:t>
            </w:r>
          </w:p>
        </w:tc>
        <w:tc>
          <w:tcPr>
            <w:tcW w:type="dxa" w:w="3460"/>
            <w:shd w:fill="F2F4F6"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Requires per-company sign-off</w:t>
            </w:r>
          </w:p>
        </w:tc>
      </w:tr>
      <w:tr>
        <w:trPr>
          <w:cantSplit/>
        </w:trPr>
        <w:tc>
          <w:tcPr>
            <w:tcW w:type="dxa" w:w="31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Careers</w:t>
            </w:r>
          </w:p>
        </w:tc>
        <w:tc>
          <w:tcPr>
            <w:tcW w:type="dxa" w:w="13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3</w:t>
            </w:r>
          </w:p>
        </w:tc>
        <w:tc>
          <w:tcPr>
            <w:tcW w:type="dxa" w:w="150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250</w:t>
            </w:r>
          </w:p>
        </w:tc>
        <w:tc>
          <w:tcPr>
            <w:tcW w:type="dxa" w:w="3460"/>
            <w:shd w:fill="FFFFFF" w:val="clear"/>
            <w:tcMar>
              <w:top w:type="dxa" w:w="100"/>
              <w:left w:type="dxa" w:w="140"/>
              <w:bottom w:type="dxa" w:w="100"/>
              <w:right w:type="dxa" w:w="140"/>
            </w:tcMar>
            <w:vAlign w:val="top"/>
          </w:tcPr>
          <w:p>
            <w:pPr>
              <w:spacing w:after="0" w:line="270"/>
            </w:pPr>
            <w:r>
              <w:rPr>
                <w:rFonts w:ascii="Calibri" w:cs="Calibri" w:eastAsia="Calibri" w:hAnsi="Calibri"/>
                <w:b w:val="false"/>
                <w:bCs w:val="false"/>
                <w:color w:val="23282D"/>
                <w:sz w:val="19"/>
                <w:szCs w:val="19"/>
              </w:rPr>
              <w:t xml:space="preserve"/>
            </w:r>
          </w:p>
        </w:tc>
      </w:tr>
    </w:tbl>
    <w:p>
      <w:pPr>
        <w:spacing w:after="240"/>
      </w:pPr>
      <w:r>
        <w:t xml:space="preserve"/>
      </w:r>
    </w:p>
    <w:p>
      <w:pPr>
        <w:pBdr>
          <w:top w:val="single" w:color="D7DCE1" w:sz="6" w:space="8"/>
        </w:pBdr>
        <w:spacing w:before="200"/>
      </w:pPr>
      <w:r>
        <w:rPr>
          <w:rFonts w:ascii="Calibri" w:cs="Calibri" w:eastAsia="Calibri" w:hAnsi="Calibri"/>
          <w:i/>
          <w:iCs/>
          <w:color w:val="5A6472"/>
          <w:sz w:val="18"/>
          <w:szCs w:val="18"/>
        </w:rPr>
        <w:t xml:space="preserve">End of document — Version 2.0, 28 September 2026. Draft for internal discussion. Reconciled to the SEBI certificate of registration, the attested PPM extract and the September 2026 LP deck.</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1" w:sz="4" w:space="6"/>
      </w:pBdr>
      <w:jc w:val="right"/>
    </w:pPr>
    <w:r>
      <w:rPr>
        <w:rFonts w:ascii="Calibri" w:cs="Calibri" w:eastAsia="Calibri" w:hAnsi="Calibri"/>
        <w:color w:val="5A6472"/>
        <w:sz w:val="16"/>
        <w:szCs w:val="16"/>
      </w:rPr>
      <w:t xml:space="preserve">Y-Point VC — Website Content &amp; Build Roadmap  ·  v2.0  ·  Draft, not for publication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Y-Point Website Content &amp; Build Roadmap</dc:title>
  <dc:creator>Y-Point Venture Capital Fund</dc:creator>
  <dc:description>Site architecture, page-by-page copy, disclosure firewall and phased build plan for y-point.vc</dc:description>
  <cp:lastModifiedBy>Un-named</cp:lastModifiedBy>
  <cp:revision>1</cp:revision>
  <dcterms:created xsi:type="dcterms:W3CDTF">2026-09-28T07:44:20.573Z</dcterms:created>
  <dcterms:modified xsi:type="dcterms:W3CDTF">2026-09-28T07:44:20.573Z</dcterms:modified>
</cp:coreProperties>
</file>

<file path=docProps/custom.xml><?xml version="1.0" encoding="utf-8"?>
<Properties xmlns="http://schemas.openxmlformats.org/officeDocument/2006/custom-properties" xmlns:vt="http://schemas.openxmlformats.org/officeDocument/2006/docPropsVTypes"/>
</file>